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4F7" w:rsidRDefault="007564F7" w:rsidP="007564F7">
      <w:pPr>
        <w:spacing w:after="0" w:line="240" w:lineRule="auto"/>
        <w:ind w:firstLine="709"/>
        <w:jc w:val="right"/>
        <w:rPr>
          <w:rFonts w:ascii="Times New Roman" w:hAnsi="Times New Roman"/>
          <w:b/>
          <w:bCs/>
          <w:sz w:val="28"/>
          <w:szCs w:val="28"/>
        </w:rPr>
      </w:pPr>
      <w:r>
        <w:rPr>
          <w:rFonts w:ascii="Times New Roman" w:hAnsi="Times New Roman"/>
          <w:b/>
          <w:bCs/>
          <w:sz w:val="28"/>
          <w:szCs w:val="28"/>
        </w:rPr>
        <w:t>Иванова Любовь Васильевна, методист МАУ «ГНМЦ».</w:t>
      </w:r>
    </w:p>
    <w:p w:rsidR="007564F7" w:rsidRDefault="007564F7" w:rsidP="007564F7">
      <w:pPr>
        <w:spacing w:after="0" w:line="240" w:lineRule="auto"/>
        <w:ind w:firstLine="709"/>
        <w:jc w:val="right"/>
        <w:rPr>
          <w:rFonts w:ascii="Times New Roman" w:hAnsi="Times New Roman"/>
          <w:b/>
          <w:bCs/>
          <w:sz w:val="28"/>
          <w:szCs w:val="28"/>
        </w:rPr>
      </w:pPr>
    </w:p>
    <w:p w:rsidR="007564F7" w:rsidRDefault="00BA73A0" w:rsidP="007564F7">
      <w:pPr>
        <w:spacing w:after="0" w:line="240" w:lineRule="auto"/>
        <w:ind w:firstLine="709"/>
        <w:jc w:val="center"/>
        <w:rPr>
          <w:rFonts w:ascii="Times New Roman" w:hAnsi="Times New Roman"/>
          <w:b/>
          <w:bCs/>
          <w:sz w:val="28"/>
          <w:szCs w:val="28"/>
        </w:rPr>
      </w:pPr>
      <w:r>
        <w:rPr>
          <w:rFonts w:ascii="Times New Roman" w:hAnsi="Times New Roman"/>
          <w:b/>
          <w:bCs/>
          <w:sz w:val="28"/>
          <w:szCs w:val="28"/>
        </w:rPr>
        <w:t>Методические проблемы математического образования</w:t>
      </w:r>
      <w:r w:rsidR="005061D4">
        <w:rPr>
          <w:rFonts w:ascii="Times New Roman" w:hAnsi="Times New Roman"/>
          <w:b/>
          <w:bCs/>
          <w:sz w:val="28"/>
          <w:szCs w:val="28"/>
        </w:rPr>
        <w:t xml:space="preserve"> в свете требований профессионального стандарта учителя математики (на основе </w:t>
      </w:r>
      <w:proofErr w:type="gramStart"/>
      <w:r w:rsidR="005061D4">
        <w:rPr>
          <w:rFonts w:ascii="Times New Roman" w:hAnsi="Times New Roman"/>
          <w:b/>
          <w:bCs/>
          <w:sz w:val="28"/>
          <w:szCs w:val="28"/>
        </w:rPr>
        <w:t>результатов независимой оценки качества подготовки школьников</w:t>
      </w:r>
      <w:proofErr w:type="gramEnd"/>
      <w:r w:rsidR="005061D4">
        <w:rPr>
          <w:rFonts w:ascii="Times New Roman" w:hAnsi="Times New Roman"/>
          <w:b/>
          <w:bCs/>
          <w:sz w:val="28"/>
          <w:szCs w:val="28"/>
        </w:rPr>
        <w:t>)</w:t>
      </w:r>
      <w:r w:rsidR="007564F7">
        <w:rPr>
          <w:rFonts w:ascii="Times New Roman" w:hAnsi="Times New Roman"/>
          <w:b/>
          <w:bCs/>
          <w:sz w:val="28"/>
          <w:szCs w:val="28"/>
        </w:rPr>
        <w:t>.</w:t>
      </w:r>
      <w:bookmarkStart w:id="0" w:name="_GoBack"/>
      <w:bookmarkEnd w:id="0"/>
    </w:p>
    <w:p w:rsidR="00BA73A0" w:rsidRDefault="00BA73A0" w:rsidP="007564F7">
      <w:pPr>
        <w:spacing w:after="0" w:line="240" w:lineRule="auto"/>
        <w:ind w:firstLine="709"/>
        <w:jc w:val="center"/>
        <w:rPr>
          <w:rFonts w:ascii="Times New Roman" w:hAnsi="Times New Roman"/>
          <w:b/>
          <w:bCs/>
          <w:sz w:val="28"/>
          <w:szCs w:val="28"/>
        </w:rPr>
      </w:pPr>
    </w:p>
    <w:p w:rsidR="00BA73A0" w:rsidRDefault="00BA73A0" w:rsidP="00BA73A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настоящее время существенно возрастает роль общематематической подготовки в повседневной жизни, в массовых профессиях, в модели ЕГЭ по математике базового уровня, усилены акценты на контроль способности </w:t>
      </w:r>
      <w:proofErr w:type="gramStart"/>
      <w:r>
        <w:rPr>
          <w:rFonts w:ascii="Times New Roman" w:hAnsi="Times New Roman"/>
          <w:sz w:val="28"/>
          <w:szCs w:val="28"/>
        </w:rPr>
        <w:t>применять</w:t>
      </w:r>
      <w:proofErr w:type="gramEnd"/>
      <w:r>
        <w:rPr>
          <w:rFonts w:ascii="Times New Roman" w:hAnsi="Times New Roman"/>
          <w:sz w:val="28"/>
          <w:szCs w:val="28"/>
        </w:rPr>
        <w:t xml:space="preserve"> полученные знания на практике, развитие логического мышления, умения работать с информацией. </w:t>
      </w:r>
    </w:p>
    <w:p w:rsidR="00DE6983" w:rsidRPr="00BA73A0" w:rsidRDefault="00DE6983" w:rsidP="00BA73A0">
      <w:pPr>
        <w:spacing w:after="0" w:line="240" w:lineRule="auto"/>
        <w:ind w:firstLine="709"/>
        <w:jc w:val="both"/>
        <w:rPr>
          <w:rFonts w:ascii="TimesNewRomanPSMT" w:hAnsi="TimesNewRomanPSMT" w:cs="TimesNewRomanPSMT"/>
          <w:sz w:val="28"/>
          <w:szCs w:val="28"/>
        </w:rPr>
      </w:pPr>
      <w:r w:rsidRPr="00BA73A0">
        <w:rPr>
          <w:rFonts w:ascii="Times New Roman" w:hAnsi="Times New Roman"/>
          <w:bCs/>
          <w:sz w:val="28"/>
          <w:szCs w:val="28"/>
        </w:rPr>
        <w:t xml:space="preserve">Модель </w:t>
      </w:r>
      <w:r w:rsidRPr="005061D4">
        <w:rPr>
          <w:rFonts w:ascii="Times New Roman" w:hAnsi="Times New Roman"/>
          <w:b/>
          <w:bCs/>
          <w:sz w:val="28"/>
          <w:szCs w:val="28"/>
          <w:u w:val="single"/>
        </w:rPr>
        <w:t>ЕГЭ по математике базового уровня</w:t>
      </w:r>
      <w:r w:rsidRPr="00BA73A0">
        <w:rPr>
          <w:rFonts w:ascii="Times New Roman" w:hAnsi="Times New Roman"/>
          <w:bCs/>
          <w:sz w:val="28"/>
          <w:szCs w:val="28"/>
        </w:rPr>
        <w:t xml:space="preserve"> предназначена </w:t>
      </w:r>
      <w:r w:rsidRPr="00BA73A0">
        <w:rPr>
          <w:rFonts w:ascii="Times New Roman" w:hAnsi="Times New Roman"/>
          <w:sz w:val="28"/>
          <w:szCs w:val="28"/>
        </w:rPr>
        <w:t xml:space="preserve">для государственной итоговой аттестации выпускников, </w:t>
      </w:r>
      <w:r w:rsidRPr="00BA73A0">
        <w:rPr>
          <w:rFonts w:ascii="Times New Roman" w:hAnsi="Times New Roman"/>
          <w:bCs/>
          <w:sz w:val="28"/>
          <w:szCs w:val="28"/>
        </w:rPr>
        <w:t xml:space="preserve">не планирующих продолжение образования </w:t>
      </w:r>
      <w:r w:rsidRPr="00BA73A0">
        <w:rPr>
          <w:rFonts w:ascii="Times New Roman" w:hAnsi="Times New Roman"/>
          <w:sz w:val="28"/>
          <w:szCs w:val="28"/>
        </w:rPr>
        <w:t xml:space="preserve">в профессиях, предъявляющих специальные требования к уровню </w:t>
      </w:r>
      <w:r w:rsidRPr="00BA73A0">
        <w:rPr>
          <w:rFonts w:ascii="Times New Roman" w:hAnsi="Times New Roman"/>
          <w:bCs/>
          <w:sz w:val="28"/>
          <w:szCs w:val="28"/>
        </w:rPr>
        <w:t>математической подготовки</w:t>
      </w:r>
      <w:r w:rsidRPr="00BA73A0">
        <w:rPr>
          <w:rFonts w:ascii="Times New Roman" w:hAnsi="Times New Roman"/>
          <w:sz w:val="28"/>
          <w:szCs w:val="28"/>
        </w:rPr>
        <w:t xml:space="preserve">. </w:t>
      </w:r>
    </w:p>
    <w:p w:rsidR="00BA73A0" w:rsidRDefault="00BA73A0" w:rsidP="00BA73A0">
      <w:pPr>
        <w:jc w:val="both"/>
        <w:rPr>
          <w:rFonts w:ascii="Times New Roman" w:hAnsi="Times New Roman"/>
          <w:sz w:val="28"/>
          <w:szCs w:val="28"/>
        </w:rPr>
      </w:pPr>
      <w:r>
        <w:rPr>
          <w:rFonts w:ascii="TimesNewRomanPSMT" w:hAnsi="TimesNewRomanPSMT" w:cs="TimesNewRomanPSMT"/>
          <w:sz w:val="28"/>
          <w:szCs w:val="28"/>
        </w:rPr>
        <w:t xml:space="preserve">         </w:t>
      </w:r>
      <w:r w:rsidR="00DE6983">
        <w:rPr>
          <w:rFonts w:ascii="TimesNewRomanPSMT" w:hAnsi="TimesNewRomanPSMT" w:cs="TimesNewRomanPSMT"/>
          <w:sz w:val="28"/>
          <w:szCs w:val="28"/>
        </w:rPr>
        <w:t xml:space="preserve">В основной волне ЕГЭ по математике в июне 2016г. приняли участие </w:t>
      </w:r>
      <w:r w:rsidR="001F1BBC">
        <w:rPr>
          <w:rFonts w:ascii="TimesNewRomanPSMT" w:hAnsi="TimesNewRomanPSMT" w:cs="TimesNewRomanPSMT"/>
          <w:sz w:val="28"/>
          <w:szCs w:val="28"/>
        </w:rPr>
        <w:t>1272</w:t>
      </w:r>
      <w:r w:rsidR="00DE6983">
        <w:rPr>
          <w:rFonts w:ascii="TimesNewRomanPSMT" w:hAnsi="TimesNewRomanPSMT" w:cs="TimesNewRomanPSMT"/>
          <w:sz w:val="28"/>
          <w:szCs w:val="28"/>
        </w:rPr>
        <w:t xml:space="preserve"> человек</w:t>
      </w:r>
      <w:r w:rsidR="001F1BBC">
        <w:rPr>
          <w:rFonts w:ascii="TimesNewRomanPSMT" w:hAnsi="TimesNewRomanPSMT" w:cs="TimesNewRomanPSMT"/>
          <w:sz w:val="28"/>
          <w:szCs w:val="28"/>
        </w:rPr>
        <w:t xml:space="preserve">а, из них 1128 выпускников СОШ и 144- ОСОШ. </w:t>
      </w:r>
      <w:r>
        <w:rPr>
          <w:rFonts w:ascii="Times New Roman" w:hAnsi="Times New Roman"/>
          <w:sz w:val="28"/>
          <w:szCs w:val="28"/>
        </w:rPr>
        <w:t xml:space="preserve">Набрали ниже минимального балла на ЕГЭ по математике </w:t>
      </w:r>
      <w:r w:rsidRPr="001F1BBC">
        <w:rPr>
          <w:rFonts w:ascii="Times New Roman" w:hAnsi="Times New Roman"/>
          <w:b/>
          <w:sz w:val="28"/>
          <w:szCs w:val="28"/>
        </w:rPr>
        <w:t>41 человек</w:t>
      </w:r>
      <w:r>
        <w:rPr>
          <w:rFonts w:ascii="Times New Roman" w:hAnsi="Times New Roman"/>
          <w:b/>
          <w:sz w:val="28"/>
          <w:szCs w:val="28"/>
        </w:rPr>
        <w:t xml:space="preserve"> (50– 2015 год)</w:t>
      </w:r>
      <w:r>
        <w:rPr>
          <w:rFonts w:ascii="Times New Roman" w:hAnsi="Times New Roman"/>
          <w:sz w:val="28"/>
          <w:szCs w:val="28"/>
        </w:rPr>
        <w:t xml:space="preserve">, что в процентном отношении составило </w:t>
      </w:r>
      <w:r>
        <w:rPr>
          <w:rFonts w:ascii="Times New Roman" w:hAnsi="Times New Roman"/>
          <w:b/>
          <w:sz w:val="28"/>
          <w:szCs w:val="28"/>
        </w:rPr>
        <w:t>4%</w:t>
      </w:r>
      <w:r>
        <w:rPr>
          <w:rFonts w:ascii="Times New Roman" w:hAnsi="Times New Roman"/>
          <w:sz w:val="28"/>
          <w:szCs w:val="28"/>
        </w:rPr>
        <w:t xml:space="preserve"> (</w:t>
      </w:r>
      <w:r>
        <w:rPr>
          <w:rFonts w:ascii="Times New Roman" w:hAnsi="Times New Roman"/>
          <w:b/>
          <w:sz w:val="28"/>
          <w:szCs w:val="28"/>
        </w:rPr>
        <w:t>6% - 2015 год</w:t>
      </w:r>
      <w:proofErr w:type="gramStart"/>
      <w:r>
        <w:rPr>
          <w:rFonts w:ascii="Times New Roman" w:hAnsi="Times New Roman"/>
          <w:b/>
          <w:sz w:val="28"/>
          <w:szCs w:val="28"/>
        </w:rPr>
        <w:t xml:space="preserve"> )</w:t>
      </w:r>
      <w:proofErr w:type="gramEnd"/>
      <w:r>
        <w:rPr>
          <w:rFonts w:ascii="Times New Roman" w:hAnsi="Times New Roman"/>
          <w:sz w:val="28"/>
          <w:szCs w:val="28"/>
        </w:rPr>
        <w:t>. Можно уверенно сказать, что это – выпускники, у которых отсутствуют базовые математические компетенции: умение анализировать условие задания, решать простейшие практические задачи, базовые знания по курсу математики.</w:t>
      </w:r>
    </w:p>
    <w:p w:rsidR="00BA73A0" w:rsidRDefault="00BA73A0" w:rsidP="00BA73A0">
      <w:pPr>
        <w:jc w:val="both"/>
        <w:rPr>
          <w:rFonts w:ascii="Times New Roman" w:hAnsi="Times New Roman"/>
          <w:sz w:val="28"/>
          <w:szCs w:val="28"/>
        </w:rPr>
      </w:pPr>
      <w:r>
        <w:rPr>
          <w:rFonts w:ascii="Times New Roman" w:hAnsi="Times New Roman"/>
          <w:sz w:val="28"/>
          <w:szCs w:val="28"/>
        </w:rPr>
        <w:t xml:space="preserve">На гистограмме </w:t>
      </w:r>
      <w:r w:rsidR="00856CE6">
        <w:rPr>
          <w:rFonts w:ascii="Times New Roman" w:hAnsi="Times New Roman"/>
          <w:sz w:val="28"/>
          <w:szCs w:val="28"/>
        </w:rPr>
        <w:t xml:space="preserve">№ 1 </w:t>
      </w:r>
      <w:r>
        <w:rPr>
          <w:rFonts w:ascii="Times New Roman" w:hAnsi="Times New Roman"/>
          <w:sz w:val="28"/>
          <w:szCs w:val="28"/>
        </w:rPr>
        <w:t>представлены</w:t>
      </w:r>
      <w:r w:rsidR="00856CE6">
        <w:rPr>
          <w:rFonts w:ascii="Times New Roman" w:hAnsi="Times New Roman"/>
          <w:sz w:val="28"/>
          <w:szCs w:val="28"/>
        </w:rPr>
        <w:t xml:space="preserve"> данные по успеваемости и качеству за два года.</w:t>
      </w:r>
    </w:p>
    <w:p w:rsidR="00BA73A0" w:rsidRDefault="00BA73A0" w:rsidP="00DE6983">
      <w:pPr>
        <w:autoSpaceDE w:val="0"/>
        <w:autoSpaceDN w:val="0"/>
        <w:adjustRightInd w:val="0"/>
        <w:spacing w:after="0" w:line="360" w:lineRule="auto"/>
        <w:jc w:val="both"/>
        <w:rPr>
          <w:rFonts w:ascii="TimesNewRomanPSMT" w:hAnsi="TimesNewRomanPSMT" w:cs="TimesNewRomanPSMT"/>
          <w:sz w:val="28"/>
          <w:szCs w:val="28"/>
        </w:rPr>
      </w:pPr>
      <w:r w:rsidRPr="00BA73A0">
        <w:rPr>
          <w:rFonts w:ascii="TimesNewRomanPSMT" w:hAnsi="TimesNewRomanPSMT" w:cs="TimesNewRomanPSMT"/>
          <w:noProof/>
          <w:sz w:val="28"/>
          <w:szCs w:val="28"/>
          <w:lang w:eastAsia="ru-RU"/>
        </w:rPr>
        <w:drawing>
          <wp:inline distT="0" distB="0" distL="0" distR="0">
            <wp:extent cx="4050078" cy="2130725"/>
            <wp:effectExtent l="19050" t="0" r="26622" b="2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E6983" w:rsidRDefault="001F1BBC" w:rsidP="00DE6983">
      <w:pPr>
        <w:autoSpaceDE w:val="0"/>
        <w:autoSpaceDN w:val="0"/>
        <w:adjustRightInd w:val="0"/>
        <w:spacing w:after="0" w:line="360" w:lineRule="auto"/>
        <w:jc w:val="both"/>
        <w:rPr>
          <w:rFonts w:ascii="TimesNewRomanPSMT" w:hAnsi="TimesNewRomanPSMT" w:cs="TimesNewRomanPSMT"/>
          <w:b/>
          <w:i/>
          <w:sz w:val="28"/>
          <w:szCs w:val="28"/>
        </w:rPr>
      </w:pPr>
      <w:r w:rsidRPr="00856CE6">
        <w:rPr>
          <w:rFonts w:ascii="TimesNewRomanPSMT" w:hAnsi="TimesNewRomanPSMT" w:cs="TimesNewRomanPSMT"/>
          <w:sz w:val="28"/>
          <w:szCs w:val="28"/>
        </w:rPr>
        <w:t xml:space="preserve">На гистограмме </w:t>
      </w:r>
      <w:r w:rsidR="00856CE6">
        <w:rPr>
          <w:rFonts w:ascii="TimesNewRomanPSMT" w:hAnsi="TimesNewRomanPSMT" w:cs="TimesNewRomanPSMT"/>
          <w:sz w:val="28"/>
          <w:szCs w:val="28"/>
        </w:rPr>
        <w:t>№ 2 показано</w:t>
      </w:r>
      <w:r w:rsidRPr="00856CE6">
        <w:rPr>
          <w:rFonts w:ascii="TimesNewRomanPSMT" w:hAnsi="TimesNewRomanPSMT" w:cs="TimesNewRomanPSMT"/>
          <w:sz w:val="28"/>
          <w:szCs w:val="28"/>
        </w:rPr>
        <w:t xml:space="preserve"> </w:t>
      </w:r>
      <w:r w:rsidR="00856CE6">
        <w:rPr>
          <w:rFonts w:ascii="TimesNewRomanPSMT" w:hAnsi="TimesNewRomanPSMT" w:cs="TimesNewRomanPSMT"/>
          <w:sz w:val="28"/>
          <w:szCs w:val="28"/>
        </w:rPr>
        <w:t xml:space="preserve">распределение </w:t>
      </w:r>
      <w:r w:rsidRPr="00856CE6">
        <w:rPr>
          <w:rFonts w:ascii="TimesNewRomanPSMT" w:hAnsi="TimesNewRomanPSMT" w:cs="TimesNewRomanPSMT"/>
          <w:sz w:val="28"/>
          <w:szCs w:val="28"/>
        </w:rPr>
        <w:t xml:space="preserve"> оцен</w:t>
      </w:r>
      <w:r w:rsidR="00856CE6">
        <w:rPr>
          <w:rFonts w:ascii="TimesNewRomanPSMT" w:hAnsi="TimesNewRomanPSMT" w:cs="TimesNewRomanPSMT"/>
          <w:sz w:val="28"/>
          <w:szCs w:val="28"/>
        </w:rPr>
        <w:t>о</w:t>
      </w:r>
      <w:r w:rsidRPr="00856CE6">
        <w:rPr>
          <w:rFonts w:ascii="TimesNewRomanPSMT" w:hAnsi="TimesNewRomanPSMT" w:cs="TimesNewRomanPSMT"/>
          <w:sz w:val="28"/>
          <w:szCs w:val="28"/>
        </w:rPr>
        <w:t>к</w:t>
      </w:r>
      <w:r>
        <w:rPr>
          <w:rFonts w:ascii="TimesNewRomanPSMT" w:hAnsi="TimesNewRomanPSMT" w:cs="TimesNewRomanPSMT"/>
          <w:b/>
          <w:i/>
          <w:sz w:val="28"/>
          <w:szCs w:val="28"/>
        </w:rPr>
        <w:t xml:space="preserve">. </w:t>
      </w:r>
    </w:p>
    <w:p w:rsidR="000C5CDE" w:rsidRDefault="000C5CDE" w:rsidP="00DE6983">
      <w:pPr>
        <w:autoSpaceDE w:val="0"/>
        <w:autoSpaceDN w:val="0"/>
        <w:adjustRightInd w:val="0"/>
        <w:spacing w:after="0" w:line="360" w:lineRule="auto"/>
        <w:jc w:val="both"/>
        <w:rPr>
          <w:rFonts w:ascii="TimesNewRomanPSMT" w:hAnsi="TimesNewRomanPSMT" w:cs="TimesNewRomanPSMT"/>
          <w:b/>
          <w:i/>
          <w:sz w:val="28"/>
          <w:szCs w:val="28"/>
        </w:rPr>
      </w:pPr>
      <w:r w:rsidRPr="000C5CDE">
        <w:rPr>
          <w:rFonts w:ascii="TimesNewRomanPSMT" w:hAnsi="TimesNewRomanPSMT" w:cs="TimesNewRomanPSMT"/>
          <w:b/>
          <w:i/>
          <w:noProof/>
          <w:sz w:val="28"/>
          <w:szCs w:val="28"/>
          <w:lang w:eastAsia="ru-RU"/>
        </w:rPr>
        <w:lastRenderedPageBreak/>
        <w:drawing>
          <wp:inline distT="0" distB="0" distL="0" distR="0">
            <wp:extent cx="4952676" cy="2044461"/>
            <wp:effectExtent l="19050" t="0" r="19374"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A7A1B" w:rsidRDefault="00856CE6" w:rsidP="00DE6983">
      <w:r>
        <w:rPr>
          <w:rFonts w:ascii="Times New Roman" w:hAnsi="Times New Roman"/>
          <w:sz w:val="28"/>
          <w:szCs w:val="28"/>
        </w:rPr>
        <w:t>На диаграмме № 3 более наглядно показаны результаты выполнения всей работы участниками ЕГЭ базового уровня.</w:t>
      </w:r>
    </w:p>
    <w:p w:rsidR="009A7A1B" w:rsidRDefault="009A7A1B" w:rsidP="009A7A1B">
      <w:r w:rsidRPr="009A7A1B">
        <w:rPr>
          <w:noProof/>
          <w:lang w:eastAsia="ru-RU"/>
        </w:rPr>
        <w:drawing>
          <wp:inline distT="0" distB="0" distL="0" distR="0">
            <wp:extent cx="6614663" cy="2639683"/>
            <wp:effectExtent l="19050" t="0" r="14737" b="8267"/>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15860" w:rsidRDefault="00A15860" w:rsidP="00A15860">
      <w:pPr>
        <w:spacing w:after="0" w:line="240" w:lineRule="auto"/>
        <w:ind w:firstLine="709"/>
        <w:jc w:val="both"/>
      </w:pPr>
      <w:r>
        <w:rPr>
          <w:rFonts w:ascii="Times New Roman" w:hAnsi="Times New Roman"/>
          <w:sz w:val="28"/>
          <w:szCs w:val="28"/>
        </w:rPr>
        <w:t>Проведенный анализ позволяет сделать вывод о том, что существенная часть текущего школьного курса математики не осваивается значительным количеством учащихся, требуется существенная перестройка содержания школьной математики, причем эта перестройка должна учитывать индивидуальные образовательные запросы и возможности каждого учащегося. Отметим, что низкий уровень математической подготовки, не позволяет учащимся успешно осваивать другие предметы естественно - научного цикла, например, физику и резко снижает общую способность учиться.</w:t>
      </w:r>
    </w:p>
    <w:p w:rsidR="009A7A1B" w:rsidRDefault="009A7A1B" w:rsidP="00856CE6">
      <w:pPr>
        <w:spacing w:after="0" w:line="240" w:lineRule="auto"/>
        <w:ind w:firstLine="709"/>
        <w:jc w:val="both"/>
        <w:rPr>
          <w:rFonts w:ascii="Times New Roman" w:hAnsi="Times New Roman"/>
          <w:sz w:val="28"/>
          <w:szCs w:val="28"/>
        </w:rPr>
      </w:pPr>
      <w:r w:rsidRPr="00856CE6">
        <w:rPr>
          <w:rFonts w:ascii="Times New Roman" w:hAnsi="Times New Roman"/>
          <w:b/>
          <w:sz w:val="28"/>
          <w:szCs w:val="28"/>
        </w:rPr>
        <w:t>Можно сделать вывод</w:t>
      </w:r>
      <w:r>
        <w:rPr>
          <w:rFonts w:ascii="Times New Roman" w:hAnsi="Times New Roman"/>
          <w:sz w:val="28"/>
          <w:szCs w:val="28"/>
        </w:rPr>
        <w:t xml:space="preserve"> о том, что задания базового уровня на проверку умения использовать приобретенные знания и умения в практической деятельности и повседневной жизни, в которых требовалось решить задачи на проценты и прочитать диаграмму, выполняются большинством выпускников. Говоря об анализе результатов ЕГЭ по математике, </w:t>
      </w:r>
      <w:r w:rsidRPr="00856CE6">
        <w:rPr>
          <w:rFonts w:ascii="Times New Roman" w:hAnsi="Times New Roman"/>
          <w:sz w:val="28"/>
          <w:szCs w:val="28"/>
        </w:rPr>
        <w:t xml:space="preserve">хуже всего выпускники справляются с решением задач на применение признаков деления натуральных чисел, </w:t>
      </w:r>
      <w:r w:rsidR="00856CE6">
        <w:rPr>
          <w:rFonts w:ascii="Times New Roman" w:hAnsi="Times New Roman"/>
          <w:sz w:val="28"/>
          <w:szCs w:val="28"/>
        </w:rPr>
        <w:t>с геометрическими задачами.</w:t>
      </w:r>
    </w:p>
    <w:p w:rsidR="009A7A1B" w:rsidRDefault="009A7A1B" w:rsidP="00A1586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Вклад геометрии выше, чем вклад алгебры и анализа в Кимах ЕГЭ базового уровня. Это объясняется наличием наглядных заданий по геометрии, которые можно выполнить, опираясь лишь на картинку и здравый смысл. Меньше ошибок </w:t>
      </w:r>
      <w:r>
        <w:rPr>
          <w:rFonts w:ascii="Times New Roman" w:hAnsi="Times New Roman"/>
          <w:sz w:val="28"/>
          <w:szCs w:val="28"/>
        </w:rPr>
        <w:lastRenderedPageBreak/>
        <w:t xml:space="preserve">сдающие ЕГЭ допускают при арифметических вычислениях. Прототипы всех предложенных задач были знакомы выпускникам </w:t>
      </w:r>
      <w:r>
        <w:rPr>
          <w:rFonts w:ascii="Times New Roman" w:hAnsi="Times New Roman"/>
          <w:snapToGrid w:val="0"/>
          <w:sz w:val="28"/>
          <w:szCs w:val="28"/>
        </w:rPr>
        <w:t>благодаря наличию Открытого банка заданий по математике и серии проведенных тренировочных работ.</w:t>
      </w:r>
      <w:r>
        <w:rPr>
          <w:rFonts w:ascii="Times New Roman" w:hAnsi="Times New Roman"/>
          <w:sz w:val="28"/>
          <w:szCs w:val="28"/>
        </w:rPr>
        <w:t xml:space="preserve"> </w:t>
      </w:r>
    </w:p>
    <w:p w:rsidR="005061D4" w:rsidRDefault="009A7A1B" w:rsidP="005061D4">
      <w:pPr>
        <w:spacing w:line="240" w:lineRule="auto"/>
        <w:jc w:val="both"/>
        <w:rPr>
          <w:rFonts w:ascii="TimesNewRomanPSMT" w:hAnsi="TimesNewRomanPSMT" w:cs="TimesNewRomanPSMT"/>
          <w:sz w:val="28"/>
          <w:szCs w:val="28"/>
        </w:rPr>
      </w:pPr>
      <w:r w:rsidRPr="00A15860">
        <w:rPr>
          <w:rFonts w:ascii="Times New Roman" w:hAnsi="Times New Roman"/>
          <w:b/>
          <w:sz w:val="28"/>
          <w:szCs w:val="28"/>
        </w:rPr>
        <w:t>Методические рекомендации</w:t>
      </w:r>
      <w:r>
        <w:rPr>
          <w:rFonts w:ascii="Times New Roman" w:hAnsi="Times New Roman"/>
          <w:sz w:val="28"/>
          <w:szCs w:val="28"/>
        </w:rPr>
        <w:t xml:space="preserve"> для образовательных организаций по организации итогового повторения, ликвидации пробелов в знаниях учащихся, планирующих сдачу экзамена на базовом уровне: для организации учебного процесса образовательные организации </w:t>
      </w:r>
      <w:r w:rsidRPr="00A15860">
        <w:rPr>
          <w:rFonts w:ascii="Times New Roman" w:hAnsi="Times New Roman"/>
          <w:sz w:val="28"/>
          <w:szCs w:val="28"/>
        </w:rPr>
        <w:t>должны учитывать индивидуальные способности и возможности учащихся, имеющих различный уровень математической подготовки и различные перспективы профессиональной деятельности. В соответствии с нормативными документами рабочие программы по математике образовательных организаций должны отражать выявленную тенденцию. Недостаточно уделять время практико-ориентированным заданиям только при итоговой подготовке. Нужно насытить рабочие программы практико-ориентированными умениями, выстроить систему изучения практической, жизненно важной математики во все школьные годы. Сюда входят элементы финансовой и статистической грамотности, умение принимать решения на основе выполненных расчетов, навыки самоконтроля с помощью оценки возможных значений физических величин на основе жизненного опыта и изучения естествознания.</w:t>
      </w:r>
      <w:r w:rsidR="00A15860" w:rsidRPr="00A15860">
        <w:rPr>
          <w:rFonts w:ascii="Times New Roman" w:hAnsi="Times New Roman"/>
          <w:sz w:val="28"/>
          <w:szCs w:val="28"/>
        </w:rPr>
        <w:t xml:space="preserve"> </w:t>
      </w:r>
      <w:r w:rsidR="00A15860">
        <w:rPr>
          <w:rFonts w:ascii="Times New Roman" w:hAnsi="Times New Roman"/>
          <w:sz w:val="28"/>
          <w:szCs w:val="28"/>
        </w:rPr>
        <w:t xml:space="preserve">Учителям необходимо включать задания из открытого банка в текущий учебный процесс, а на завершающем этапе подготовки к экзамену эффективно проводить диагностику недостатков и их устранение в усвоении отдельных тем путем решения серий конкретных задач. Следует отметить, что открытый банк заданий является вспомогательным методическим материалом для методиста и учителя. </w:t>
      </w:r>
      <w:r w:rsidR="00A15860" w:rsidRPr="00A15860">
        <w:rPr>
          <w:rFonts w:ascii="Times New Roman" w:hAnsi="Times New Roman"/>
          <w:sz w:val="28"/>
          <w:szCs w:val="28"/>
        </w:rPr>
        <w:t>Замена преподавания математики решением задач из открытого банка, «натаскивание» на запоминание текстов решений (или даже ответов) задач из банка вредно с точки зрения образования и малоэффективно в смысле подготовки к самому экзамену</w:t>
      </w:r>
      <w:r w:rsidR="00A15860">
        <w:rPr>
          <w:rFonts w:ascii="Times New Roman" w:hAnsi="Times New Roman"/>
          <w:sz w:val="28"/>
          <w:szCs w:val="28"/>
        </w:rPr>
        <w:t>.</w:t>
      </w:r>
      <w:r w:rsidR="00A15860">
        <w:tab/>
      </w:r>
      <w:r w:rsidR="00A15860" w:rsidRPr="00A15860">
        <w:rPr>
          <w:rFonts w:ascii="TimesNewRomanPSMT" w:hAnsi="TimesNewRomanPSMT" w:cs="TimesNewRomanPSMT"/>
          <w:sz w:val="28"/>
          <w:szCs w:val="28"/>
        </w:rPr>
        <w:t xml:space="preserve"> </w:t>
      </w:r>
    </w:p>
    <w:p w:rsidR="005061D4" w:rsidRDefault="005061D4" w:rsidP="005061D4">
      <w:pPr>
        <w:autoSpaceDE w:val="0"/>
        <w:autoSpaceDN w:val="0"/>
        <w:adjustRightInd w:val="0"/>
        <w:spacing w:after="0" w:line="240" w:lineRule="auto"/>
        <w:jc w:val="both"/>
        <w:rPr>
          <w:rFonts w:ascii="Times New Roman" w:hAnsi="Times New Roman"/>
          <w:color w:val="000000"/>
          <w:sz w:val="28"/>
          <w:szCs w:val="28"/>
        </w:rPr>
      </w:pPr>
      <w:r w:rsidRPr="006D0B5D">
        <w:rPr>
          <w:rFonts w:ascii="Times New Roman" w:hAnsi="Times New Roman"/>
          <w:color w:val="000000"/>
          <w:sz w:val="28"/>
          <w:szCs w:val="28"/>
        </w:rPr>
        <w:t xml:space="preserve"> Для </w:t>
      </w:r>
      <w:r w:rsidRPr="006D0B5D">
        <w:rPr>
          <w:rFonts w:ascii="Times New Roman" w:hAnsi="Times New Roman"/>
          <w:b/>
          <w:i/>
          <w:color w:val="000000"/>
          <w:sz w:val="28"/>
          <w:szCs w:val="28"/>
        </w:rPr>
        <w:t>поступления в высшие учебные</w:t>
      </w:r>
      <w:r w:rsidRPr="006D0B5D">
        <w:rPr>
          <w:rFonts w:ascii="Times New Roman" w:hAnsi="Times New Roman"/>
          <w:color w:val="000000"/>
          <w:sz w:val="28"/>
          <w:szCs w:val="28"/>
        </w:rPr>
        <w:t xml:space="preserve"> заведения на специальности, где </w:t>
      </w:r>
      <w:r w:rsidRPr="006D0B5D">
        <w:rPr>
          <w:rFonts w:ascii="Times New Roman" w:hAnsi="Times New Roman"/>
          <w:b/>
          <w:i/>
          <w:color w:val="000000"/>
          <w:sz w:val="28"/>
          <w:szCs w:val="28"/>
        </w:rPr>
        <w:t>математика</w:t>
      </w:r>
      <w:r w:rsidRPr="006D0B5D">
        <w:rPr>
          <w:rFonts w:ascii="Times New Roman" w:hAnsi="Times New Roman"/>
          <w:color w:val="000000"/>
          <w:sz w:val="28"/>
          <w:szCs w:val="28"/>
        </w:rPr>
        <w:t xml:space="preserve"> является </w:t>
      </w:r>
      <w:r w:rsidRPr="006D0B5D">
        <w:rPr>
          <w:rFonts w:ascii="Times New Roman" w:hAnsi="Times New Roman"/>
          <w:b/>
          <w:i/>
          <w:color w:val="000000"/>
          <w:sz w:val="28"/>
          <w:szCs w:val="28"/>
        </w:rPr>
        <w:t>одним из вступительных</w:t>
      </w:r>
      <w:r w:rsidRPr="006D0B5D">
        <w:rPr>
          <w:rFonts w:ascii="Times New Roman" w:hAnsi="Times New Roman"/>
          <w:color w:val="000000"/>
          <w:sz w:val="28"/>
          <w:szCs w:val="28"/>
        </w:rPr>
        <w:t xml:space="preserve"> требований, абитуриент был должен выполнить экзаменационные требования на </w:t>
      </w:r>
      <w:r w:rsidRPr="006D0B5D">
        <w:rPr>
          <w:rFonts w:ascii="Times New Roman" w:hAnsi="Times New Roman"/>
          <w:b/>
          <w:i/>
          <w:color w:val="000000"/>
          <w:sz w:val="28"/>
          <w:szCs w:val="28"/>
        </w:rPr>
        <w:t>профильном уровне</w:t>
      </w:r>
      <w:r w:rsidRPr="006D0B5D">
        <w:rPr>
          <w:rFonts w:ascii="Times New Roman" w:hAnsi="Times New Roman"/>
          <w:color w:val="000000"/>
          <w:sz w:val="28"/>
          <w:szCs w:val="28"/>
        </w:rPr>
        <w:t xml:space="preserve">. </w:t>
      </w:r>
    </w:p>
    <w:p w:rsidR="007E451F" w:rsidRPr="00A15860" w:rsidRDefault="00A15860" w:rsidP="007E451F">
      <w:pPr>
        <w:jc w:val="both"/>
        <w:rPr>
          <w:rFonts w:ascii="TimesNewRomanPSMT" w:hAnsi="TimesNewRomanPSMT" w:cs="TimesNewRomanPSMT"/>
          <w:sz w:val="28"/>
          <w:szCs w:val="28"/>
        </w:rPr>
      </w:pPr>
      <w:r w:rsidRPr="00A15860">
        <w:rPr>
          <w:rFonts w:ascii="TimesNewRomanPSMT" w:hAnsi="TimesNewRomanPSMT" w:cs="TimesNewRomanPSMT"/>
          <w:sz w:val="28"/>
          <w:szCs w:val="28"/>
        </w:rPr>
        <w:t xml:space="preserve">        </w:t>
      </w:r>
    </w:p>
    <w:tbl>
      <w:tblPr>
        <w:tblW w:w="8897" w:type="dxa"/>
        <w:tblLayout w:type="fixed"/>
        <w:tblCellMar>
          <w:left w:w="0" w:type="dxa"/>
          <w:right w:w="0" w:type="dxa"/>
        </w:tblCellMar>
        <w:tblLook w:val="04A0" w:firstRow="1" w:lastRow="0" w:firstColumn="1" w:lastColumn="0" w:noHBand="0" w:noVBand="1"/>
      </w:tblPr>
      <w:tblGrid>
        <w:gridCol w:w="1123"/>
        <w:gridCol w:w="828"/>
        <w:gridCol w:w="851"/>
        <w:gridCol w:w="850"/>
        <w:gridCol w:w="851"/>
        <w:gridCol w:w="992"/>
        <w:gridCol w:w="992"/>
        <w:gridCol w:w="851"/>
        <w:gridCol w:w="709"/>
        <w:gridCol w:w="850"/>
      </w:tblGrid>
      <w:tr w:rsidR="007E451F" w:rsidRPr="007E451F" w:rsidTr="007E451F">
        <w:trPr>
          <w:trHeight w:val="955"/>
        </w:trPr>
        <w:tc>
          <w:tcPr>
            <w:tcW w:w="1123" w:type="dxa"/>
            <w:tcBorders>
              <w:top w:val="single" w:sz="8" w:space="0" w:color="FFFFFF"/>
              <w:left w:val="single" w:sz="8" w:space="0" w:color="FFFFFF"/>
              <w:bottom w:val="single" w:sz="24"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i/>
                <w:iCs/>
                <w:sz w:val="24"/>
                <w:szCs w:val="24"/>
              </w:rPr>
              <w:t>ОУ</w:t>
            </w:r>
            <w:r w:rsidRPr="007E451F">
              <w:rPr>
                <w:rFonts w:ascii="TimesNewRomanPSMT" w:hAnsi="TimesNewRomanPSMT" w:cs="TimesNewRomanPSMT"/>
                <w:b/>
                <w:bCs/>
                <w:sz w:val="24"/>
                <w:szCs w:val="24"/>
              </w:rPr>
              <w:t xml:space="preserve"> </w:t>
            </w:r>
          </w:p>
        </w:tc>
        <w:tc>
          <w:tcPr>
            <w:tcW w:w="828" w:type="dxa"/>
            <w:tcBorders>
              <w:top w:val="single" w:sz="8" w:space="0" w:color="FFFFFF"/>
              <w:left w:val="single" w:sz="8" w:space="0" w:color="FFFFFF"/>
              <w:bottom w:val="single" w:sz="24"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 xml:space="preserve">Кол-во </w:t>
            </w:r>
          </w:p>
        </w:tc>
        <w:tc>
          <w:tcPr>
            <w:tcW w:w="851" w:type="dxa"/>
            <w:tcBorders>
              <w:top w:val="single" w:sz="8" w:space="0" w:color="FFFFFF"/>
              <w:left w:val="single" w:sz="8" w:space="0" w:color="FFFFFF"/>
              <w:bottom w:val="single" w:sz="24"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 xml:space="preserve">Не прошли </w:t>
            </w:r>
          </w:p>
        </w:tc>
        <w:tc>
          <w:tcPr>
            <w:tcW w:w="850" w:type="dxa"/>
            <w:tcBorders>
              <w:top w:val="single" w:sz="8" w:space="0" w:color="FFFFFF"/>
              <w:left w:val="single" w:sz="8" w:space="0" w:color="FFFFFF"/>
              <w:bottom w:val="single" w:sz="24"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 xml:space="preserve">% успев </w:t>
            </w:r>
          </w:p>
        </w:tc>
        <w:tc>
          <w:tcPr>
            <w:tcW w:w="851" w:type="dxa"/>
            <w:tcBorders>
              <w:top w:val="single" w:sz="8" w:space="0" w:color="FFFFFF"/>
              <w:left w:val="single" w:sz="8" w:space="0" w:color="FFFFFF"/>
              <w:bottom w:val="single" w:sz="24"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proofErr w:type="spellStart"/>
            <w:r w:rsidRPr="007E451F">
              <w:rPr>
                <w:rFonts w:ascii="TimesNewRomanPSMT" w:hAnsi="TimesNewRomanPSMT" w:cs="TimesNewRomanPSMT"/>
                <w:b/>
                <w:bCs/>
                <w:sz w:val="24"/>
                <w:szCs w:val="24"/>
              </w:rPr>
              <w:t>Ср</w:t>
            </w:r>
            <w:proofErr w:type="gramStart"/>
            <w:r w:rsidRPr="007E451F">
              <w:rPr>
                <w:rFonts w:ascii="TimesNewRomanPSMT" w:hAnsi="TimesNewRomanPSMT" w:cs="TimesNewRomanPSMT"/>
                <w:b/>
                <w:bCs/>
                <w:sz w:val="24"/>
                <w:szCs w:val="24"/>
              </w:rPr>
              <w:t>.п</w:t>
            </w:r>
            <w:proofErr w:type="gramEnd"/>
            <w:r w:rsidRPr="007E451F">
              <w:rPr>
                <w:rFonts w:ascii="TimesNewRomanPSMT" w:hAnsi="TimesNewRomanPSMT" w:cs="TimesNewRomanPSMT"/>
                <w:b/>
                <w:bCs/>
                <w:sz w:val="24"/>
                <w:szCs w:val="24"/>
              </w:rPr>
              <w:t>ер</w:t>
            </w:r>
            <w:proofErr w:type="spellEnd"/>
            <w:r w:rsidRPr="007E451F">
              <w:rPr>
                <w:rFonts w:ascii="TimesNewRomanPSMT" w:hAnsi="TimesNewRomanPSMT" w:cs="TimesNewRomanPSMT"/>
                <w:b/>
                <w:bCs/>
                <w:sz w:val="24"/>
                <w:szCs w:val="24"/>
              </w:rPr>
              <w:t xml:space="preserve">. балл </w:t>
            </w:r>
          </w:p>
        </w:tc>
        <w:tc>
          <w:tcPr>
            <w:tcW w:w="992" w:type="dxa"/>
            <w:tcBorders>
              <w:top w:val="single" w:sz="8" w:space="0" w:color="FFFFFF"/>
              <w:left w:val="single" w:sz="8" w:space="0" w:color="FFFFFF"/>
              <w:bottom w:val="single" w:sz="24" w:space="0" w:color="FFFFFF"/>
              <w:right w:val="single" w:sz="8" w:space="0" w:color="FFFFFF"/>
            </w:tcBorders>
            <w:shd w:val="clear" w:color="auto" w:fill="8DB3E2" w:themeFill="text2" w:themeFillTint="66"/>
            <w:tcMar>
              <w:top w:w="14" w:type="dxa"/>
              <w:left w:w="108" w:type="dxa"/>
              <w:bottom w:w="0" w:type="dxa"/>
              <w:right w:w="108" w:type="dxa"/>
            </w:tcMar>
            <w:hideMark/>
          </w:tcPr>
          <w:p w:rsidR="007E451F" w:rsidRPr="007E451F" w:rsidRDefault="007E451F" w:rsidP="007E451F">
            <w:pPr>
              <w:spacing w:after="0" w:line="240" w:lineRule="auto"/>
              <w:rPr>
                <w:rFonts w:ascii="TimesNewRomanPSMT" w:hAnsi="TimesNewRomanPSMT" w:cs="TimesNewRomanPSMT"/>
                <w:sz w:val="24"/>
                <w:szCs w:val="24"/>
              </w:rPr>
            </w:pPr>
            <w:proofErr w:type="spellStart"/>
            <w:r w:rsidRPr="007E451F">
              <w:rPr>
                <w:rFonts w:ascii="TimesNewRomanPSMT" w:hAnsi="TimesNewRomanPSMT" w:cs="TimesNewRomanPSMT"/>
                <w:b/>
                <w:bCs/>
                <w:sz w:val="24"/>
                <w:szCs w:val="24"/>
              </w:rPr>
              <w:t>Ср</w:t>
            </w:r>
            <w:proofErr w:type="gramStart"/>
            <w:r w:rsidRPr="007E451F">
              <w:rPr>
                <w:rFonts w:ascii="TimesNewRomanPSMT" w:hAnsi="TimesNewRomanPSMT" w:cs="TimesNewRomanPSMT"/>
                <w:b/>
                <w:bCs/>
                <w:sz w:val="24"/>
                <w:szCs w:val="24"/>
              </w:rPr>
              <w:t>.т</w:t>
            </w:r>
            <w:proofErr w:type="gramEnd"/>
            <w:r w:rsidRPr="007E451F">
              <w:rPr>
                <w:rFonts w:ascii="TimesNewRomanPSMT" w:hAnsi="TimesNewRomanPSMT" w:cs="TimesNewRomanPSMT"/>
                <w:b/>
                <w:bCs/>
                <w:sz w:val="24"/>
                <w:szCs w:val="24"/>
              </w:rPr>
              <w:t>ест</w:t>
            </w:r>
            <w:proofErr w:type="spellEnd"/>
            <w:r w:rsidRPr="007E451F">
              <w:rPr>
                <w:rFonts w:ascii="TimesNewRomanPSMT" w:hAnsi="TimesNewRomanPSMT" w:cs="TimesNewRomanPSMT"/>
                <w:b/>
                <w:bCs/>
                <w:sz w:val="24"/>
                <w:szCs w:val="24"/>
              </w:rPr>
              <w:t xml:space="preserve">. </w:t>
            </w:r>
          </w:p>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 xml:space="preserve">балл </w:t>
            </w:r>
          </w:p>
        </w:tc>
        <w:tc>
          <w:tcPr>
            <w:tcW w:w="992" w:type="dxa"/>
            <w:tcBorders>
              <w:top w:val="single" w:sz="8" w:space="0" w:color="FFFFFF"/>
              <w:left w:val="single" w:sz="8" w:space="0" w:color="FFFFFF"/>
              <w:bottom w:val="single" w:sz="24" w:space="0" w:color="FFFFFF"/>
              <w:right w:val="single" w:sz="8" w:space="0" w:color="FFFFFF"/>
            </w:tcBorders>
            <w:shd w:val="clear" w:color="auto" w:fill="8DB3E2" w:themeFill="text2" w:themeFillTint="66"/>
            <w:tcMar>
              <w:top w:w="14" w:type="dxa"/>
              <w:left w:w="108" w:type="dxa"/>
              <w:bottom w:w="0" w:type="dxa"/>
              <w:right w:w="108" w:type="dxa"/>
            </w:tcMar>
            <w:hideMark/>
          </w:tcPr>
          <w:p w:rsidR="007E451F"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Более</w:t>
            </w:r>
          </w:p>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 xml:space="preserve">55 б </w:t>
            </w:r>
          </w:p>
        </w:tc>
        <w:tc>
          <w:tcPr>
            <w:tcW w:w="851" w:type="dxa"/>
            <w:tcBorders>
              <w:top w:val="single" w:sz="8" w:space="0" w:color="FFFFFF"/>
              <w:left w:val="single" w:sz="8" w:space="0" w:color="FFFFFF"/>
              <w:bottom w:val="single" w:sz="24" w:space="0" w:color="FFFFFF"/>
              <w:right w:val="single" w:sz="8" w:space="0" w:color="FFFFFF"/>
            </w:tcBorders>
            <w:shd w:val="clear" w:color="auto" w:fill="8DB3E2" w:themeFill="text2" w:themeFillTint="66"/>
            <w:tcMar>
              <w:top w:w="14" w:type="dxa"/>
              <w:left w:w="108" w:type="dxa"/>
              <w:bottom w:w="0" w:type="dxa"/>
              <w:right w:w="108" w:type="dxa"/>
            </w:tcMar>
            <w:hideMark/>
          </w:tcPr>
          <w:p w:rsidR="007E451F"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 xml:space="preserve">более </w:t>
            </w:r>
          </w:p>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 xml:space="preserve">70 б </w:t>
            </w:r>
          </w:p>
        </w:tc>
        <w:tc>
          <w:tcPr>
            <w:tcW w:w="709" w:type="dxa"/>
            <w:tcBorders>
              <w:top w:val="single" w:sz="8" w:space="0" w:color="FFFFFF"/>
              <w:left w:val="single" w:sz="8" w:space="0" w:color="FFFFFF"/>
              <w:bottom w:val="single" w:sz="24"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 xml:space="preserve">мин </w:t>
            </w:r>
          </w:p>
        </w:tc>
        <w:tc>
          <w:tcPr>
            <w:tcW w:w="850" w:type="dxa"/>
            <w:tcBorders>
              <w:top w:val="single" w:sz="8" w:space="0" w:color="FFFFFF"/>
              <w:left w:val="single" w:sz="8" w:space="0" w:color="FFFFFF"/>
              <w:bottom w:val="single" w:sz="24"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 xml:space="preserve">макс </w:t>
            </w:r>
          </w:p>
        </w:tc>
      </w:tr>
      <w:tr w:rsidR="007E451F" w:rsidRPr="007E451F" w:rsidTr="007E451F">
        <w:trPr>
          <w:trHeight w:val="527"/>
        </w:trPr>
        <w:tc>
          <w:tcPr>
            <w:tcW w:w="1123" w:type="dxa"/>
            <w:tcBorders>
              <w:top w:val="single" w:sz="24"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7E451F"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i/>
                <w:iCs/>
                <w:sz w:val="24"/>
                <w:szCs w:val="24"/>
              </w:rPr>
              <w:t>2016</w:t>
            </w:r>
          </w:p>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i/>
                <w:iCs/>
                <w:sz w:val="24"/>
                <w:szCs w:val="24"/>
              </w:rPr>
              <w:t>СОШ</w:t>
            </w:r>
            <w:r w:rsidRPr="007E451F">
              <w:rPr>
                <w:rFonts w:ascii="TimesNewRomanPSMT" w:hAnsi="TimesNewRomanPSMT" w:cs="TimesNewRomanPSMT"/>
                <w:sz w:val="24"/>
                <w:szCs w:val="24"/>
              </w:rPr>
              <w:t xml:space="preserve"> </w:t>
            </w:r>
          </w:p>
        </w:tc>
        <w:tc>
          <w:tcPr>
            <w:tcW w:w="828" w:type="dxa"/>
            <w:tcBorders>
              <w:top w:val="single" w:sz="24"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884</w:t>
            </w:r>
            <w:r w:rsidRPr="007E451F">
              <w:rPr>
                <w:rFonts w:ascii="TimesNewRomanPSMT" w:hAnsi="TimesNewRomanPSMT" w:cs="TimesNewRomanPSMT"/>
                <w:sz w:val="24"/>
                <w:szCs w:val="24"/>
              </w:rPr>
              <w:t xml:space="preserve"> </w:t>
            </w:r>
          </w:p>
        </w:tc>
        <w:tc>
          <w:tcPr>
            <w:tcW w:w="851" w:type="dxa"/>
            <w:tcBorders>
              <w:top w:val="single" w:sz="24"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147</w:t>
            </w:r>
            <w:r w:rsidRPr="007E451F">
              <w:rPr>
                <w:rFonts w:ascii="TimesNewRomanPSMT" w:hAnsi="TimesNewRomanPSMT" w:cs="TimesNewRomanPSMT"/>
                <w:sz w:val="24"/>
                <w:szCs w:val="24"/>
              </w:rPr>
              <w:t xml:space="preserve"> </w:t>
            </w:r>
          </w:p>
        </w:tc>
        <w:tc>
          <w:tcPr>
            <w:tcW w:w="850" w:type="dxa"/>
            <w:tcBorders>
              <w:top w:val="single" w:sz="24"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83,4</w:t>
            </w:r>
            <w:r w:rsidRPr="007E451F">
              <w:rPr>
                <w:rFonts w:ascii="TimesNewRomanPSMT" w:hAnsi="TimesNewRomanPSMT" w:cs="TimesNewRomanPSMT"/>
                <w:sz w:val="24"/>
                <w:szCs w:val="24"/>
              </w:rPr>
              <w:t xml:space="preserve"> </w:t>
            </w:r>
          </w:p>
        </w:tc>
        <w:tc>
          <w:tcPr>
            <w:tcW w:w="851" w:type="dxa"/>
            <w:tcBorders>
              <w:top w:val="single" w:sz="24"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9</w:t>
            </w:r>
            <w:r w:rsidRPr="007E451F">
              <w:rPr>
                <w:rFonts w:ascii="TimesNewRomanPSMT" w:hAnsi="TimesNewRomanPSMT" w:cs="TimesNewRomanPSMT"/>
                <w:sz w:val="24"/>
                <w:szCs w:val="24"/>
              </w:rPr>
              <w:t xml:space="preserve"> </w:t>
            </w:r>
          </w:p>
        </w:tc>
        <w:tc>
          <w:tcPr>
            <w:tcW w:w="992" w:type="dxa"/>
            <w:tcBorders>
              <w:top w:val="single" w:sz="24"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43</w:t>
            </w:r>
            <w:r w:rsidRPr="007E451F">
              <w:rPr>
                <w:rFonts w:ascii="TimesNewRomanPSMT" w:hAnsi="TimesNewRomanPSMT" w:cs="TimesNewRomanPSMT"/>
                <w:sz w:val="24"/>
                <w:szCs w:val="24"/>
              </w:rPr>
              <w:t xml:space="preserve"> </w:t>
            </w:r>
          </w:p>
        </w:tc>
        <w:tc>
          <w:tcPr>
            <w:tcW w:w="992" w:type="dxa"/>
            <w:tcBorders>
              <w:top w:val="single" w:sz="24"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329</w:t>
            </w:r>
            <w:r w:rsidRPr="007E451F">
              <w:rPr>
                <w:rFonts w:ascii="TimesNewRomanPSMT" w:hAnsi="TimesNewRomanPSMT" w:cs="TimesNewRomanPSMT"/>
                <w:sz w:val="24"/>
                <w:szCs w:val="24"/>
              </w:rPr>
              <w:t xml:space="preserve"> </w:t>
            </w:r>
          </w:p>
        </w:tc>
        <w:tc>
          <w:tcPr>
            <w:tcW w:w="851" w:type="dxa"/>
            <w:tcBorders>
              <w:top w:val="single" w:sz="24"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149</w:t>
            </w:r>
            <w:r w:rsidRPr="007E451F">
              <w:rPr>
                <w:rFonts w:ascii="TimesNewRomanPSMT" w:hAnsi="TimesNewRomanPSMT" w:cs="TimesNewRomanPSMT"/>
                <w:sz w:val="24"/>
                <w:szCs w:val="24"/>
              </w:rPr>
              <w:t xml:space="preserve"> </w:t>
            </w:r>
          </w:p>
        </w:tc>
        <w:tc>
          <w:tcPr>
            <w:tcW w:w="709" w:type="dxa"/>
            <w:tcBorders>
              <w:top w:val="single" w:sz="24"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13</w:t>
            </w:r>
            <w:r w:rsidRPr="007E451F">
              <w:rPr>
                <w:rFonts w:ascii="TimesNewRomanPSMT" w:hAnsi="TimesNewRomanPSMT" w:cs="TimesNewRomanPSMT"/>
                <w:sz w:val="24"/>
                <w:szCs w:val="24"/>
              </w:rPr>
              <w:t xml:space="preserve"> </w:t>
            </w:r>
          </w:p>
        </w:tc>
        <w:tc>
          <w:tcPr>
            <w:tcW w:w="850" w:type="dxa"/>
            <w:tcBorders>
              <w:top w:val="single" w:sz="24"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72</w:t>
            </w:r>
            <w:r w:rsidRPr="007E451F">
              <w:rPr>
                <w:rFonts w:ascii="TimesNewRomanPSMT" w:hAnsi="TimesNewRomanPSMT" w:cs="TimesNewRomanPSMT"/>
                <w:sz w:val="24"/>
                <w:szCs w:val="24"/>
              </w:rPr>
              <w:t xml:space="preserve"> </w:t>
            </w:r>
          </w:p>
        </w:tc>
      </w:tr>
      <w:tr w:rsidR="007E451F" w:rsidRPr="007E451F" w:rsidTr="007E451F">
        <w:trPr>
          <w:trHeight w:val="535"/>
        </w:trPr>
        <w:tc>
          <w:tcPr>
            <w:tcW w:w="1123"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7E451F"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i/>
                <w:iCs/>
                <w:sz w:val="24"/>
                <w:szCs w:val="24"/>
              </w:rPr>
              <w:t>2015</w:t>
            </w:r>
          </w:p>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i/>
                <w:iCs/>
                <w:sz w:val="24"/>
                <w:szCs w:val="24"/>
              </w:rPr>
              <w:t>СОШ</w:t>
            </w:r>
            <w:r w:rsidRPr="007E451F">
              <w:rPr>
                <w:rFonts w:ascii="TimesNewRomanPSMT" w:hAnsi="TimesNewRomanPSMT" w:cs="TimesNewRomanPSMT"/>
                <w:sz w:val="24"/>
                <w:szCs w:val="24"/>
              </w:rPr>
              <w:t xml:space="preserve"> </w:t>
            </w:r>
          </w:p>
        </w:tc>
        <w:tc>
          <w:tcPr>
            <w:tcW w:w="828"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917</w:t>
            </w:r>
            <w:r w:rsidRPr="007E451F">
              <w:rPr>
                <w:rFonts w:ascii="TimesNewRomanPSMT" w:hAnsi="TimesNewRomanPSMT" w:cs="TimesNewRomanPSMT"/>
                <w:sz w:val="24"/>
                <w:szCs w:val="24"/>
              </w:rPr>
              <w:t xml:space="preserve"> </w:t>
            </w:r>
          </w:p>
        </w:tc>
        <w:tc>
          <w:tcPr>
            <w:tcW w:w="851"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213</w:t>
            </w:r>
            <w:r w:rsidRPr="007E451F">
              <w:rPr>
                <w:rFonts w:ascii="TimesNewRomanPSMT" w:hAnsi="TimesNewRomanPSMT" w:cs="TimesNewRomanPSMT"/>
                <w:sz w:val="24"/>
                <w:szCs w:val="24"/>
              </w:rPr>
              <w:t xml:space="preserve"> </w:t>
            </w:r>
          </w:p>
        </w:tc>
        <w:tc>
          <w:tcPr>
            <w:tcW w:w="850"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73,3</w:t>
            </w:r>
            <w:r w:rsidRPr="007E451F">
              <w:rPr>
                <w:rFonts w:ascii="TimesNewRomanPSMT" w:hAnsi="TimesNewRomanPSMT" w:cs="TimesNewRomanPSMT"/>
                <w:sz w:val="24"/>
                <w:szCs w:val="24"/>
              </w:rPr>
              <w:t xml:space="preserve"> </w:t>
            </w:r>
          </w:p>
        </w:tc>
        <w:tc>
          <w:tcPr>
            <w:tcW w:w="851"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8</w:t>
            </w:r>
            <w:r w:rsidRPr="007E451F">
              <w:rPr>
                <w:rFonts w:ascii="TimesNewRomanPSMT" w:hAnsi="TimesNewRomanPSMT" w:cs="TimesNewRomanPSMT"/>
                <w:sz w:val="24"/>
                <w:szCs w:val="24"/>
              </w:rPr>
              <w:t xml:space="preserve"> </w:t>
            </w:r>
          </w:p>
        </w:tc>
        <w:tc>
          <w:tcPr>
            <w:tcW w:w="992"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38</w:t>
            </w:r>
            <w:r w:rsidRPr="007E451F">
              <w:rPr>
                <w:rFonts w:ascii="TimesNewRomanPSMT" w:hAnsi="TimesNewRomanPSMT" w:cs="TimesNewRomanPSMT"/>
                <w:sz w:val="24"/>
                <w:szCs w:val="24"/>
              </w:rPr>
              <w:t xml:space="preserve"> </w:t>
            </w:r>
          </w:p>
        </w:tc>
        <w:tc>
          <w:tcPr>
            <w:tcW w:w="992"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257</w:t>
            </w:r>
            <w:r w:rsidRPr="007E451F">
              <w:rPr>
                <w:rFonts w:ascii="TimesNewRomanPSMT" w:hAnsi="TimesNewRomanPSMT" w:cs="TimesNewRomanPSMT"/>
                <w:sz w:val="24"/>
                <w:szCs w:val="24"/>
              </w:rPr>
              <w:t xml:space="preserve"> </w:t>
            </w:r>
          </w:p>
        </w:tc>
        <w:tc>
          <w:tcPr>
            <w:tcW w:w="851"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82</w:t>
            </w:r>
            <w:r w:rsidRPr="007E451F">
              <w:rPr>
                <w:rFonts w:ascii="TimesNewRomanPSMT" w:hAnsi="TimesNewRomanPSMT" w:cs="TimesNewRomanPSMT"/>
                <w:sz w:val="24"/>
                <w:szCs w:val="24"/>
              </w:rPr>
              <w:t xml:space="preserve"> </w:t>
            </w:r>
          </w:p>
        </w:tc>
        <w:tc>
          <w:tcPr>
            <w:tcW w:w="709"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12</w:t>
            </w:r>
            <w:r w:rsidRPr="007E451F">
              <w:rPr>
                <w:rFonts w:ascii="TimesNewRomanPSMT" w:hAnsi="TimesNewRomanPSMT" w:cs="TimesNewRomanPSMT"/>
                <w:sz w:val="24"/>
                <w:szCs w:val="24"/>
              </w:rPr>
              <w:t xml:space="preserve"> </w:t>
            </w:r>
          </w:p>
        </w:tc>
        <w:tc>
          <w:tcPr>
            <w:tcW w:w="850"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68</w:t>
            </w:r>
            <w:r w:rsidRPr="007E451F">
              <w:rPr>
                <w:rFonts w:ascii="TimesNewRomanPSMT" w:hAnsi="TimesNewRomanPSMT" w:cs="TimesNewRomanPSMT"/>
                <w:sz w:val="24"/>
                <w:szCs w:val="24"/>
              </w:rPr>
              <w:t xml:space="preserve"> </w:t>
            </w:r>
          </w:p>
        </w:tc>
      </w:tr>
      <w:tr w:rsidR="007E451F" w:rsidRPr="007E451F" w:rsidTr="007E451F">
        <w:trPr>
          <w:trHeight w:val="627"/>
        </w:trPr>
        <w:tc>
          <w:tcPr>
            <w:tcW w:w="1123"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7E451F"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i/>
                <w:iCs/>
                <w:sz w:val="24"/>
                <w:szCs w:val="24"/>
              </w:rPr>
              <w:t>2016</w:t>
            </w:r>
          </w:p>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i/>
                <w:iCs/>
                <w:sz w:val="24"/>
                <w:szCs w:val="24"/>
              </w:rPr>
              <w:t>ОСОШ</w:t>
            </w:r>
            <w:r w:rsidRPr="007E451F">
              <w:rPr>
                <w:rFonts w:ascii="TimesNewRomanPSMT" w:hAnsi="TimesNewRomanPSMT" w:cs="TimesNewRomanPSMT"/>
                <w:sz w:val="24"/>
                <w:szCs w:val="24"/>
              </w:rPr>
              <w:t xml:space="preserve"> </w:t>
            </w:r>
          </w:p>
        </w:tc>
        <w:tc>
          <w:tcPr>
            <w:tcW w:w="828"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57</w:t>
            </w:r>
            <w:r w:rsidRPr="007E451F">
              <w:rPr>
                <w:rFonts w:ascii="TimesNewRomanPSMT" w:hAnsi="TimesNewRomanPSMT" w:cs="TimesNewRomanPSMT"/>
                <w:sz w:val="24"/>
                <w:szCs w:val="24"/>
              </w:rPr>
              <w:t xml:space="preserve"> </w:t>
            </w:r>
          </w:p>
        </w:tc>
        <w:tc>
          <w:tcPr>
            <w:tcW w:w="851"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42</w:t>
            </w:r>
            <w:r w:rsidRPr="007E451F">
              <w:rPr>
                <w:rFonts w:ascii="TimesNewRomanPSMT" w:hAnsi="TimesNewRomanPSMT" w:cs="TimesNewRomanPSMT"/>
                <w:sz w:val="24"/>
                <w:szCs w:val="24"/>
              </w:rPr>
              <w:t xml:space="preserve"> </w:t>
            </w:r>
          </w:p>
        </w:tc>
        <w:tc>
          <w:tcPr>
            <w:tcW w:w="850"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26,3</w:t>
            </w:r>
            <w:r w:rsidRPr="007E451F">
              <w:rPr>
                <w:rFonts w:ascii="TimesNewRomanPSMT" w:hAnsi="TimesNewRomanPSMT" w:cs="TimesNewRomanPSMT"/>
                <w:sz w:val="24"/>
                <w:szCs w:val="24"/>
              </w:rPr>
              <w:t xml:space="preserve"> </w:t>
            </w:r>
          </w:p>
        </w:tc>
        <w:tc>
          <w:tcPr>
            <w:tcW w:w="851"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5,5</w:t>
            </w:r>
            <w:r w:rsidRPr="007E451F">
              <w:rPr>
                <w:rFonts w:ascii="TimesNewRomanPSMT" w:hAnsi="TimesNewRomanPSMT" w:cs="TimesNewRomanPSMT"/>
                <w:sz w:val="24"/>
                <w:szCs w:val="24"/>
              </w:rPr>
              <w:t xml:space="preserve"> </w:t>
            </w:r>
          </w:p>
        </w:tc>
        <w:tc>
          <w:tcPr>
            <w:tcW w:w="992"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24</w:t>
            </w:r>
            <w:r w:rsidRPr="007E451F">
              <w:rPr>
                <w:rFonts w:ascii="TimesNewRomanPSMT" w:hAnsi="TimesNewRomanPSMT" w:cs="TimesNewRomanPSMT"/>
                <w:sz w:val="24"/>
                <w:szCs w:val="24"/>
              </w:rPr>
              <w:t xml:space="preserve"> </w:t>
            </w:r>
          </w:p>
        </w:tc>
        <w:tc>
          <w:tcPr>
            <w:tcW w:w="992"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1</w:t>
            </w:r>
            <w:r w:rsidRPr="007E451F">
              <w:rPr>
                <w:rFonts w:ascii="TimesNewRomanPSMT" w:hAnsi="TimesNewRomanPSMT" w:cs="TimesNewRomanPSMT"/>
                <w:sz w:val="24"/>
                <w:szCs w:val="24"/>
              </w:rPr>
              <w:t xml:space="preserve"> </w:t>
            </w:r>
          </w:p>
        </w:tc>
        <w:tc>
          <w:tcPr>
            <w:tcW w:w="851"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0</w:t>
            </w:r>
            <w:r w:rsidRPr="007E451F">
              <w:rPr>
                <w:rFonts w:ascii="TimesNewRomanPSMT" w:hAnsi="TimesNewRomanPSMT" w:cs="TimesNewRomanPSMT"/>
                <w:sz w:val="24"/>
                <w:szCs w:val="24"/>
              </w:rPr>
              <w:t xml:space="preserve"> </w:t>
            </w:r>
          </w:p>
        </w:tc>
        <w:tc>
          <w:tcPr>
            <w:tcW w:w="709"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11,5</w:t>
            </w:r>
            <w:r w:rsidRPr="007E451F">
              <w:rPr>
                <w:rFonts w:ascii="TimesNewRomanPSMT" w:hAnsi="TimesNewRomanPSMT" w:cs="TimesNewRomanPSMT"/>
                <w:sz w:val="24"/>
                <w:szCs w:val="24"/>
              </w:rPr>
              <w:t xml:space="preserve"> </w:t>
            </w:r>
          </w:p>
        </w:tc>
        <w:tc>
          <w:tcPr>
            <w:tcW w:w="850"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53</w:t>
            </w:r>
            <w:r w:rsidRPr="007E451F">
              <w:rPr>
                <w:rFonts w:ascii="TimesNewRomanPSMT" w:hAnsi="TimesNewRomanPSMT" w:cs="TimesNewRomanPSMT"/>
                <w:sz w:val="24"/>
                <w:szCs w:val="24"/>
              </w:rPr>
              <w:t xml:space="preserve"> </w:t>
            </w:r>
          </w:p>
        </w:tc>
      </w:tr>
      <w:tr w:rsidR="007E451F" w:rsidRPr="007E451F" w:rsidTr="007E451F">
        <w:trPr>
          <w:trHeight w:val="537"/>
        </w:trPr>
        <w:tc>
          <w:tcPr>
            <w:tcW w:w="1123"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7E451F"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i/>
                <w:iCs/>
                <w:sz w:val="24"/>
                <w:szCs w:val="24"/>
              </w:rPr>
              <w:t>2015</w:t>
            </w:r>
          </w:p>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i/>
                <w:iCs/>
                <w:sz w:val="24"/>
                <w:szCs w:val="24"/>
              </w:rPr>
              <w:t>ОСОШ</w:t>
            </w:r>
            <w:r w:rsidRPr="007E451F">
              <w:rPr>
                <w:rFonts w:ascii="TimesNewRomanPSMT" w:hAnsi="TimesNewRomanPSMT" w:cs="TimesNewRomanPSMT"/>
                <w:sz w:val="24"/>
                <w:szCs w:val="24"/>
              </w:rPr>
              <w:t xml:space="preserve"> </w:t>
            </w:r>
          </w:p>
        </w:tc>
        <w:tc>
          <w:tcPr>
            <w:tcW w:w="828"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78</w:t>
            </w:r>
            <w:r w:rsidRPr="007E451F">
              <w:rPr>
                <w:rFonts w:ascii="TimesNewRomanPSMT" w:hAnsi="TimesNewRomanPSMT" w:cs="TimesNewRomanPSMT"/>
                <w:sz w:val="24"/>
                <w:szCs w:val="24"/>
              </w:rPr>
              <w:t xml:space="preserve"> </w:t>
            </w:r>
          </w:p>
        </w:tc>
        <w:tc>
          <w:tcPr>
            <w:tcW w:w="851"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53</w:t>
            </w:r>
            <w:r w:rsidRPr="007E451F">
              <w:rPr>
                <w:rFonts w:ascii="TimesNewRomanPSMT" w:hAnsi="TimesNewRomanPSMT" w:cs="TimesNewRomanPSMT"/>
                <w:sz w:val="24"/>
                <w:szCs w:val="24"/>
              </w:rPr>
              <w:t xml:space="preserve"> </w:t>
            </w:r>
          </w:p>
        </w:tc>
        <w:tc>
          <w:tcPr>
            <w:tcW w:w="850"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28,2</w:t>
            </w:r>
            <w:r w:rsidRPr="007E451F">
              <w:rPr>
                <w:rFonts w:ascii="TimesNewRomanPSMT" w:hAnsi="TimesNewRomanPSMT" w:cs="TimesNewRomanPSMT"/>
                <w:sz w:val="24"/>
                <w:szCs w:val="24"/>
              </w:rPr>
              <w:t xml:space="preserve"> </w:t>
            </w:r>
          </w:p>
        </w:tc>
        <w:tc>
          <w:tcPr>
            <w:tcW w:w="851"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4</w:t>
            </w:r>
            <w:r w:rsidRPr="007E451F">
              <w:rPr>
                <w:rFonts w:ascii="TimesNewRomanPSMT" w:hAnsi="TimesNewRomanPSMT" w:cs="TimesNewRomanPSMT"/>
                <w:sz w:val="24"/>
                <w:szCs w:val="24"/>
              </w:rPr>
              <w:t xml:space="preserve"> </w:t>
            </w:r>
          </w:p>
        </w:tc>
        <w:tc>
          <w:tcPr>
            <w:tcW w:w="992"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21</w:t>
            </w:r>
            <w:r w:rsidRPr="007E451F">
              <w:rPr>
                <w:rFonts w:ascii="TimesNewRomanPSMT" w:hAnsi="TimesNewRomanPSMT" w:cs="TimesNewRomanPSMT"/>
                <w:sz w:val="24"/>
                <w:szCs w:val="24"/>
              </w:rPr>
              <w:t xml:space="preserve"> </w:t>
            </w:r>
          </w:p>
        </w:tc>
        <w:tc>
          <w:tcPr>
            <w:tcW w:w="992"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1</w:t>
            </w:r>
            <w:r w:rsidRPr="007E451F">
              <w:rPr>
                <w:rFonts w:ascii="TimesNewRomanPSMT" w:hAnsi="TimesNewRomanPSMT" w:cs="TimesNewRomanPSMT"/>
                <w:sz w:val="24"/>
                <w:szCs w:val="24"/>
              </w:rPr>
              <w:t xml:space="preserve"> </w:t>
            </w:r>
          </w:p>
        </w:tc>
        <w:tc>
          <w:tcPr>
            <w:tcW w:w="851"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0</w:t>
            </w:r>
            <w:r w:rsidRPr="007E451F">
              <w:rPr>
                <w:rFonts w:ascii="TimesNewRomanPSMT" w:hAnsi="TimesNewRomanPSMT" w:cs="TimesNewRomanPSMT"/>
                <w:sz w:val="24"/>
                <w:szCs w:val="24"/>
              </w:rPr>
              <w:t xml:space="preserve"> </w:t>
            </w:r>
          </w:p>
        </w:tc>
        <w:tc>
          <w:tcPr>
            <w:tcW w:w="709"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5,7</w:t>
            </w:r>
            <w:r w:rsidRPr="007E451F">
              <w:rPr>
                <w:rFonts w:ascii="TimesNewRomanPSMT" w:hAnsi="TimesNewRomanPSMT" w:cs="TimesNewRomanPSMT"/>
                <w:sz w:val="24"/>
                <w:szCs w:val="24"/>
              </w:rPr>
              <w:t xml:space="preserve"> </w:t>
            </w:r>
          </w:p>
        </w:tc>
        <w:tc>
          <w:tcPr>
            <w:tcW w:w="850"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47</w:t>
            </w:r>
            <w:r w:rsidRPr="007E451F">
              <w:rPr>
                <w:rFonts w:ascii="TimesNewRomanPSMT" w:hAnsi="TimesNewRomanPSMT" w:cs="TimesNewRomanPSMT"/>
                <w:sz w:val="24"/>
                <w:szCs w:val="24"/>
              </w:rPr>
              <w:t xml:space="preserve"> </w:t>
            </w:r>
          </w:p>
        </w:tc>
      </w:tr>
      <w:tr w:rsidR="007E451F" w:rsidRPr="007E451F" w:rsidTr="007E451F">
        <w:trPr>
          <w:trHeight w:val="517"/>
        </w:trPr>
        <w:tc>
          <w:tcPr>
            <w:tcW w:w="1123"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7E451F"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i/>
                <w:iCs/>
                <w:sz w:val="24"/>
                <w:szCs w:val="24"/>
              </w:rPr>
              <w:t>Город</w:t>
            </w:r>
          </w:p>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i/>
                <w:iCs/>
                <w:sz w:val="24"/>
                <w:szCs w:val="24"/>
              </w:rPr>
              <w:t>2016</w:t>
            </w:r>
            <w:r w:rsidRPr="007E451F">
              <w:rPr>
                <w:rFonts w:ascii="TimesNewRomanPSMT" w:hAnsi="TimesNewRomanPSMT" w:cs="TimesNewRomanPSMT"/>
                <w:sz w:val="24"/>
                <w:szCs w:val="24"/>
              </w:rPr>
              <w:t xml:space="preserve"> </w:t>
            </w:r>
          </w:p>
        </w:tc>
        <w:tc>
          <w:tcPr>
            <w:tcW w:w="828"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941</w:t>
            </w:r>
            <w:r w:rsidRPr="007E451F">
              <w:rPr>
                <w:rFonts w:ascii="TimesNewRomanPSMT" w:hAnsi="TimesNewRomanPSMT" w:cs="TimesNewRomanPSMT"/>
                <w:sz w:val="24"/>
                <w:szCs w:val="24"/>
              </w:rPr>
              <w:t xml:space="preserve"> </w:t>
            </w:r>
          </w:p>
        </w:tc>
        <w:tc>
          <w:tcPr>
            <w:tcW w:w="851"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189</w:t>
            </w:r>
            <w:r w:rsidRPr="007E451F">
              <w:rPr>
                <w:rFonts w:ascii="TimesNewRomanPSMT" w:hAnsi="TimesNewRomanPSMT" w:cs="TimesNewRomanPSMT"/>
                <w:sz w:val="24"/>
                <w:szCs w:val="24"/>
              </w:rPr>
              <w:t xml:space="preserve"> </w:t>
            </w:r>
          </w:p>
        </w:tc>
        <w:tc>
          <w:tcPr>
            <w:tcW w:w="850"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79,9</w:t>
            </w:r>
            <w:r w:rsidRPr="007E451F">
              <w:rPr>
                <w:rFonts w:ascii="TimesNewRomanPSMT" w:hAnsi="TimesNewRomanPSMT" w:cs="TimesNewRomanPSMT"/>
                <w:sz w:val="24"/>
                <w:szCs w:val="24"/>
              </w:rPr>
              <w:t xml:space="preserve"> </w:t>
            </w:r>
          </w:p>
        </w:tc>
        <w:tc>
          <w:tcPr>
            <w:tcW w:w="851"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8,6</w:t>
            </w:r>
            <w:r w:rsidRPr="007E451F">
              <w:rPr>
                <w:rFonts w:ascii="TimesNewRomanPSMT" w:hAnsi="TimesNewRomanPSMT" w:cs="TimesNewRomanPSMT"/>
                <w:sz w:val="24"/>
                <w:szCs w:val="24"/>
              </w:rPr>
              <w:t xml:space="preserve"> </w:t>
            </w:r>
          </w:p>
        </w:tc>
        <w:tc>
          <w:tcPr>
            <w:tcW w:w="992"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42,1</w:t>
            </w:r>
            <w:r w:rsidRPr="007E451F">
              <w:rPr>
                <w:rFonts w:ascii="TimesNewRomanPSMT" w:hAnsi="TimesNewRomanPSMT" w:cs="TimesNewRomanPSMT"/>
                <w:sz w:val="24"/>
                <w:szCs w:val="24"/>
              </w:rPr>
              <w:t xml:space="preserve"> </w:t>
            </w:r>
          </w:p>
        </w:tc>
        <w:tc>
          <w:tcPr>
            <w:tcW w:w="992"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330</w:t>
            </w:r>
            <w:r w:rsidRPr="007E451F">
              <w:rPr>
                <w:rFonts w:ascii="TimesNewRomanPSMT" w:hAnsi="TimesNewRomanPSMT" w:cs="TimesNewRomanPSMT"/>
                <w:sz w:val="24"/>
                <w:szCs w:val="24"/>
              </w:rPr>
              <w:t xml:space="preserve"> </w:t>
            </w:r>
          </w:p>
        </w:tc>
        <w:tc>
          <w:tcPr>
            <w:tcW w:w="851"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149</w:t>
            </w:r>
            <w:r w:rsidRPr="007E451F">
              <w:rPr>
                <w:rFonts w:ascii="TimesNewRomanPSMT" w:hAnsi="TimesNewRomanPSMT" w:cs="TimesNewRomanPSMT"/>
                <w:sz w:val="24"/>
                <w:szCs w:val="24"/>
              </w:rPr>
              <w:t xml:space="preserve"> </w:t>
            </w:r>
          </w:p>
        </w:tc>
        <w:tc>
          <w:tcPr>
            <w:tcW w:w="709"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13</w:t>
            </w:r>
            <w:r w:rsidRPr="007E451F">
              <w:rPr>
                <w:rFonts w:ascii="TimesNewRomanPSMT" w:hAnsi="TimesNewRomanPSMT" w:cs="TimesNewRomanPSMT"/>
                <w:sz w:val="24"/>
                <w:szCs w:val="24"/>
              </w:rPr>
              <w:t xml:space="preserve"> </w:t>
            </w:r>
          </w:p>
        </w:tc>
        <w:tc>
          <w:tcPr>
            <w:tcW w:w="850"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71</w:t>
            </w:r>
            <w:r w:rsidRPr="007E451F">
              <w:rPr>
                <w:rFonts w:ascii="TimesNewRomanPSMT" w:hAnsi="TimesNewRomanPSMT" w:cs="TimesNewRomanPSMT"/>
                <w:sz w:val="24"/>
                <w:szCs w:val="24"/>
              </w:rPr>
              <w:t xml:space="preserve"> </w:t>
            </w:r>
          </w:p>
        </w:tc>
      </w:tr>
      <w:tr w:rsidR="007E451F" w:rsidRPr="007E451F" w:rsidTr="007E451F">
        <w:trPr>
          <w:trHeight w:val="497"/>
        </w:trPr>
        <w:tc>
          <w:tcPr>
            <w:tcW w:w="1123"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7E451F"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i/>
                <w:iCs/>
                <w:sz w:val="24"/>
                <w:szCs w:val="24"/>
              </w:rPr>
              <w:lastRenderedPageBreak/>
              <w:t>Город</w:t>
            </w:r>
          </w:p>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i/>
                <w:iCs/>
                <w:sz w:val="24"/>
                <w:szCs w:val="24"/>
              </w:rPr>
              <w:t>2015</w:t>
            </w:r>
            <w:r w:rsidRPr="007E451F">
              <w:rPr>
                <w:rFonts w:ascii="TimesNewRomanPSMT" w:hAnsi="TimesNewRomanPSMT" w:cs="TimesNewRomanPSMT"/>
                <w:sz w:val="24"/>
                <w:szCs w:val="24"/>
              </w:rPr>
              <w:t xml:space="preserve"> </w:t>
            </w:r>
          </w:p>
        </w:tc>
        <w:tc>
          <w:tcPr>
            <w:tcW w:w="828"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995</w:t>
            </w:r>
            <w:r w:rsidRPr="007E451F">
              <w:rPr>
                <w:rFonts w:ascii="TimesNewRomanPSMT" w:hAnsi="TimesNewRomanPSMT" w:cs="TimesNewRomanPSMT"/>
                <w:sz w:val="24"/>
                <w:szCs w:val="24"/>
              </w:rPr>
              <w:t xml:space="preserve"> </w:t>
            </w:r>
          </w:p>
        </w:tc>
        <w:tc>
          <w:tcPr>
            <w:tcW w:w="851"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266</w:t>
            </w:r>
            <w:r w:rsidRPr="007E451F">
              <w:rPr>
                <w:rFonts w:ascii="TimesNewRomanPSMT" w:hAnsi="TimesNewRomanPSMT" w:cs="TimesNewRomanPSMT"/>
                <w:sz w:val="24"/>
                <w:szCs w:val="24"/>
              </w:rPr>
              <w:t xml:space="preserve"> </w:t>
            </w:r>
          </w:p>
        </w:tc>
        <w:tc>
          <w:tcPr>
            <w:tcW w:w="850"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68,8</w:t>
            </w:r>
            <w:r w:rsidRPr="007E451F">
              <w:rPr>
                <w:rFonts w:ascii="TimesNewRomanPSMT" w:hAnsi="TimesNewRomanPSMT" w:cs="TimesNewRomanPSMT"/>
                <w:sz w:val="24"/>
                <w:szCs w:val="24"/>
              </w:rPr>
              <w:t xml:space="preserve"> </w:t>
            </w:r>
          </w:p>
        </w:tc>
        <w:tc>
          <w:tcPr>
            <w:tcW w:w="851"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8</w:t>
            </w:r>
            <w:r w:rsidRPr="007E451F">
              <w:rPr>
                <w:rFonts w:ascii="TimesNewRomanPSMT" w:hAnsi="TimesNewRomanPSMT" w:cs="TimesNewRomanPSMT"/>
                <w:sz w:val="24"/>
                <w:szCs w:val="24"/>
              </w:rPr>
              <w:t xml:space="preserve"> </w:t>
            </w:r>
          </w:p>
        </w:tc>
        <w:tc>
          <w:tcPr>
            <w:tcW w:w="992"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36,5</w:t>
            </w:r>
            <w:r w:rsidRPr="007E451F">
              <w:rPr>
                <w:rFonts w:ascii="TimesNewRomanPSMT" w:hAnsi="TimesNewRomanPSMT" w:cs="TimesNewRomanPSMT"/>
                <w:sz w:val="24"/>
                <w:szCs w:val="24"/>
              </w:rPr>
              <w:t xml:space="preserve"> </w:t>
            </w:r>
          </w:p>
        </w:tc>
        <w:tc>
          <w:tcPr>
            <w:tcW w:w="992"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258</w:t>
            </w:r>
            <w:r w:rsidRPr="007E451F">
              <w:rPr>
                <w:rFonts w:ascii="TimesNewRomanPSMT" w:hAnsi="TimesNewRomanPSMT" w:cs="TimesNewRomanPSMT"/>
                <w:sz w:val="24"/>
                <w:szCs w:val="24"/>
              </w:rPr>
              <w:t xml:space="preserve"> </w:t>
            </w:r>
          </w:p>
        </w:tc>
        <w:tc>
          <w:tcPr>
            <w:tcW w:w="851"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82</w:t>
            </w:r>
            <w:r w:rsidRPr="007E451F">
              <w:rPr>
                <w:rFonts w:ascii="TimesNewRomanPSMT" w:hAnsi="TimesNewRomanPSMT" w:cs="TimesNewRomanPSMT"/>
                <w:sz w:val="24"/>
                <w:szCs w:val="24"/>
              </w:rPr>
              <w:t xml:space="preserve"> </w:t>
            </w:r>
          </w:p>
        </w:tc>
        <w:tc>
          <w:tcPr>
            <w:tcW w:w="709"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11,4</w:t>
            </w:r>
            <w:r w:rsidRPr="007E451F">
              <w:rPr>
                <w:rFonts w:ascii="TimesNewRomanPSMT" w:hAnsi="TimesNewRomanPSMT" w:cs="TimesNewRomanPSMT"/>
                <w:sz w:val="24"/>
                <w:szCs w:val="24"/>
              </w:rPr>
              <w:t xml:space="preserve"> </w:t>
            </w:r>
          </w:p>
        </w:tc>
        <w:tc>
          <w:tcPr>
            <w:tcW w:w="850"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4" w:type="dxa"/>
              <w:left w:w="108" w:type="dxa"/>
              <w:bottom w:w="0" w:type="dxa"/>
              <w:right w:w="108" w:type="dxa"/>
            </w:tcMar>
            <w:hideMark/>
          </w:tcPr>
          <w:p w:rsidR="00076EBE" w:rsidRPr="007E451F" w:rsidRDefault="007E451F" w:rsidP="007E451F">
            <w:pPr>
              <w:spacing w:after="0" w:line="240" w:lineRule="auto"/>
              <w:rPr>
                <w:rFonts w:ascii="TimesNewRomanPSMT" w:hAnsi="TimesNewRomanPSMT" w:cs="TimesNewRomanPSMT"/>
                <w:sz w:val="24"/>
                <w:szCs w:val="24"/>
              </w:rPr>
            </w:pPr>
            <w:r w:rsidRPr="007E451F">
              <w:rPr>
                <w:rFonts w:ascii="TimesNewRomanPSMT" w:hAnsi="TimesNewRomanPSMT" w:cs="TimesNewRomanPSMT"/>
                <w:b/>
                <w:bCs/>
                <w:sz w:val="24"/>
                <w:szCs w:val="24"/>
              </w:rPr>
              <w:t>66</w:t>
            </w:r>
            <w:r w:rsidRPr="007E451F">
              <w:rPr>
                <w:rFonts w:ascii="TimesNewRomanPSMT" w:hAnsi="TimesNewRomanPSMT" w:cs="TimesNewRomanPSMT"/>
                <w:sz w:val="24"/>
                <w:szCs w:val="24"/>
              </w:rPr>
              <w:t xml:space="preserve"> </w:t>
            </w:r>
          </w:p>
        </w:tc>
      </w:tr>
    </w:tbl>
    <w:p w:rsidR="00A15860" w:rsidRPr="00A15860" w:rsidRDefault="00A15860" w:rsidP="00A15860">
      <w:pPr>
        <w:spacing w:after="0" w:line="240" w:lineRule="auto"/>
      </w:pPr>
      <w:r w:rsidRPr="00A15860">
        <w:rPr>
          <w:rFonts w:ascii="TimesNewRomanPSMT" w:hAnsi="TimesNewRomanPSMT" w:cs="TimesNewRomanPSMT"/>
          <w:sz w:val="28"/>
          <w:szCs w:val="28"/>
        </w:rPr>
        <w:t xml:space="preserve"> Как видно из таблицы средний тестовый балл выше по СОШ  по городу составил – 43 (38 в 2015),    край - 42,64 (38,6 2015 год) Лучшие результаты по всем показателям просматриваются по СОШ</w:t>
      </w:r>
      <w:proofErr w:type="gramStart"/>
      <w:r w:rsidRPr="00A15860">
        <w:t xml:space="preserve"> .</w:t>
      </w:r>
      <w:proofErr w:type="gramEnd"/>
    </w:p>
    <w:p w:rsidR="00DE6983" w:rsidRDefault="00A15860" w:rsidP="00A15860">
      <w:pPr>
        <w:tabs>
          <w:tab w:val="left" w:pos="1263"/>
        </w:tabs>
        <w:rPr>
          <w:rFonts w:ascii="Times New Roman" w:hAnsi="Times New Roman"/>
          <w:sz w:val="28"/>
          <w:szCs w:val="28"/>
        </w:rPr>
      </w:pPr>
      <w:r w:rsidRPr="00A15860">
        <w:rPr>
          <w:rFonts w:ascii="TimesNewRomanPSMT" w:hAnsi="TimesNewRomanPSMT" w:cs="TimesNewRomanPSMT"/>
          <w:sz w:val="28"/>
          <w:szCs w:val="28"/>
        </w:rPr>
        <w:t xml:space="preserve">              Набрали ниже минимального балла на ЕГЭ по математике по СОШ (0–5) первичных балла 16,6 %  учащихся (0 – 5 заданий 26,7% - 2015 г.) И</w:t>
      </w:r>
      <w:r w:rsidRPr="00A15860">
        <w:rPr>
          <w:rFonts w:ascii="Times New Roman" w:hAnsi="Times New Roman"/>
          <w:sz w:val="28"/>
          <w:szCs w:val="28"/>
        </w:rPr>
        <w:t>з таблицы видно, что наблюдается понижение по сравнению с прошлым годом числа выпускников не прошедших минимальный порог.</w:t>
      </w:r>
    </w:p>
    <w:p w:rsidR="005061D4" w:rsidRDefault="007E451F" w:rsidP="007E451F">
      <w:pPr>
        <w:tabs>
          <w:tab w:val="left" w:pos="8655"/>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p>
    <w:p w:rsidR="007E451F" w:rsidRDefault="007E451F" w:rsidP="007E451F">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Pr="006D0B5D">
        <w:rPr>
          <w:rFonts w:ascii="Times New Roman" w:hAnsi="Times New Roman"/>
          <w:sz w:val="28"/>
          <w:szCs w:val="28"/>
        </w:rPr>
        <w:t>Работа в 201</w:t>
      </w:r>
      <w:r>
        <w:rPr>
          <w:rFonts w:ascii="Times New Roman" w:hAnsi="Times New Roman"/>
          <w:sz w:val="28"/>
          <w:szCs w:val="28"/>
        </w:rPr>
        <w:t>6</w:t>
      </w:r>
      <w:r w:rsidRPr="006D0B5D">
        <w:rPr>
          <w:rFonts w:ascii="Times New Roman" w:hAnsi="Times New Roman"/>
          <w:sz w:val="28"/>
          <w:szCs w:val="28"/>
        </w:rPr>
        <w:t xml:space="preserve"> г. состоит из двух частей и содержит </w:t>
      </w:r>
      <w:r>
        <w:rPr>
          <w:rFonts w:ascii="Times New Roman" w:hAnsi="Times New Roman"/>
          <w:sz w:val="28"/>
          <w:szCs w:val="28"/>
        </w:rPr>
        <w:t>19</w:t>
      </w:r>
      <w:r w:rsidRPr="006D0B5D">
        <w:rPr>
          <w:rFonts w:ascii="Times New Roman" w:hAnsi="Times New Roman"/>
          <w:sz w:val="28"/>
          <w:szCs w:val="28"/>
        </w:rPr>
        <w:t xml:space="preserve"> задани</w:t>
      </w:r>
      <w:r>
        <w:rPr>
          <w:rFonts w:ascii="Times New Roman" w:hAnsi="Times New Roman"/>
          <w:sz w:val="28"/>
          <w:szCs w:val="28"/>
        </w:rPr>
        <w:t>й</w:t>
      </w:r>
      <w:r w:rsidRPr="006D0B5D">
        <w:rPr>
          <w:rFonts w:ascii="Times New Roman" w:hAnsi="Times New Roman"/>
          <w:sz w:val="28"/>
          <w:szCs w:val="28"/>
        </w:rPr>
        <w:t xml:space="preserve">. </w:t>
      </w:r>
    </w:p>
    <w:p w:rsidR="005061D4" w:rsidRDefault="007E451F" w:rsidP="007E451F">
      <w:pPr>
        <w:autoSpaceDE w:val="0"/>
        <w:autoSpaceDN w:val="0"/>
        <w:adjustRightInd w:val="0"/>
        <w:spacing w:after="0" w:line="240" w:lineRule="auto"/>
        <w:jc w:val="both"/>
        <w:rPr>
          <w:rFonts w:ascii="Times New Roman" w:hAnsi="Times New Roman"/>
          <w:sz w:val="28"/>
          <w:szCs w:val="28"/>
        </w:rPr>
      </w:pPr>
      <w:r w:rsidRPr="006D0B5D">
        <w:rPr>
          <w:rFonts w:ascii="Times New Roman" w:hAnsi="Times New Roman"/>
          <w:b/>
          <w:sz w:val="28"/>
          <w:szCs w:val="28"/>
        </w:rPr>
        <w:t xml:space="preserve">Часть 1 содержит </w:t>
      </w:r>
      <w:r>
        <w:rPr>
          <w:rFonts w:ascii="Times New Roman" w:hAnsi="Times New Roman"/>
          <w:b/>
          <w:sz w:val="28"/>
          <w:szCs w:val="28"/>
        </w:rPr>
        <w:t>8</w:t>
      </w:r>
      <w:r w:rsidRPr="006D0B5D">
        <w:rPr>
          <w:rFonts w:ascii="Times New Roman" w:hAnsi="Times New Roman"/>
          <w:b/>
          <w:sz w:val="28"/>
          <w:szCs w:val="28"/>
        </w:rPr>
        <w:t xml:space="preserve"> заданий</w:t>
      </w:r>
      <w:r w:rsidRPr="006D0B5D">
        <w:rPr>
          <w:rFonts w:ascii="Times New Roman" w:hAnsi="Times New Roman"/>
          <w:sz w:val="28"/>
          <w:szCs w:val="28"/>
        </w:rPr>
        <w:t xml:space="preserve"> (задания 1–</w:t>
      </w:r>
      <w:r>
        <w:rPr>
          <w:rFonts w:ascii="Times New Roman" w:hAnsi="Times New Roman"/>
          <w:sz w:val="28"/>
          <w:szCs w:val="28"/>
        </w:rPr>
        <w:t>8</w:t>
      </w:r>
      <w:r w:rsidRPr="006D0B5D">
        <w:rPr>
          <w:rFonts w:ascii="Times New Roman" w:hAnsi="Times New Roman"/>
          <w:sz w:val="28"/>
          <w:szCs w:val="28"/>
        </w:rPr>
        <w:t xml:space="preserve">) с кратким числовым ответом, задания первой части были переупорядочены с целью выделения в подгруппу заданий базового уровня требований к подготовке участников экзамена. </w:t>
      </w:r>
    </w:p>
    <w:p w:rsidR="007E451F" w:rsidRDefault="007E451F" w:rsidP="007E451F">
      <w:pPr>
        <w:autoSpaceDE w:val="0"/>
        <w:autoSpaceDN w:val="0"/>
        <w:adjustRightInd w:val="0"/>
        <w:spacing w:after="0" w:line="240" w:lineRule="auto"/>
        <w:jc w:val="both"/>
        <w:rPr>
          <w:rFonts w:ascii="TimesNewRomanPSMT" w:hAnsi="TimesNewRomanPSMT" w:cs="TimesNewRomanPSMT"/>
          <w:sz w:val="19"/>
          <w:szCs w:val="19"/>
        </w:rPr>
      </w:pPr>
      <w:r w:rsidRPr="006D0B5D">
        <w:rPr>
          <w:rFonts w:ascii="Times New Roman" w:hAnsi="Times New Roman"/>
          <w:b/>
          <w:sz w:val="28"/>
          <w:szCs w:val="28"/>
        </w:rPr>
        <w:t>Часть 2 содержит 1</w:t>
      </w:r>
      <w:r>
        <w:rPr>
          <w:rFonts w:ascii="Times New Roman" w:hAnsi="Times New Roman"/>
          <w:b/>
          <w:sz w:val="28"/>
          <w:szCs w:val="28"/>
        </w:rPr>
        <w:t>1</w:t>
      </w:r>
      <w:r w:rsidRPr="006D0B5D">
        <w:rPr>
          <w:rFonts w:ascii="Times New Roman" w:hAnsi="Times New Roman"/>
          <w:b/>
          <w:sz w:val="28"/>
          <w:szCs w:val="28"/>
        </w:rPr>
        <w:t xml:space="preserve"> заданий</w:t>
      </w:r>
      <w:r w:rsidRPr="006D0B5D">
        <w:rPr>
          <w:rFonts w:ascii="Times New Roman" w:hAnsi="Times New Roman"/>
          <w:sz w:val="28"/>
          <w:szCs w:val="28"/>
        </w:rPr>
        <w:t xml:space="preserve"> по материалу курса математики средней школы, проверяющих уровень профильной математической подготовки. Из них </w:t>
      </w:r>
      <w:r>
        <w:rPr>
          <w:rFonts w:ascii="Times New Roman" w:hAnsi="Times New Roman"/>
          <w:sz w:val="28"/>
          <w:szCs w:val="28"/>
        </w:rPr>
        <w:t>четыре</w:t>
      </w:r>
      <w:r w:rsidRPr="006D0B5D">
        <w:rPr>
          <w:rFonts w:ascii="Times New Roman" w:hAnsi="Times New Roman"/>
          <w:sz w:val="28"/>
          <w:szCs w:val="28"/>
        </w:rPr>
        <w:t xml:space="preserve"> задани</w:t>
      </w:r>
      <w:r>
        <w:rPr>
          <w:rFonts w:ascii="Times New Roman" w:hAnsi="Times New Roman"/>
          <w:sz w:val="28"/>
          <w:szCs w:val="28"/>
        </w:rPr>
        <w:t>я (в 2015 их было 5)</w:t>
      </w:r>
      <w:r w:rsidRPr="006D0B5D">
        <w:rPr>
          <w:rFonts w:ascii="Times New Roman" w:hAnsi="Times New Roman"/>
          <w:sz w:val="28"/>
          <w:szCs w:val="28"/>
        </w:rPr>
        <w:t xml:space="preserve"> (задания </w:t>
      </w:r>
      <w:r>
        <w:rPr>
          <w:rFonts w:ascii="Times New Roman" w:hAnsi="Times New Roman"/>
          <w:sz w:val="28"/>
          <w:szCs w:val="28"/>
        </w:rPr>
        <w:t>9</w:t>
      </w:r>
      <w:r w:rsidRPr="006D0B5D">
        <w:rPr>
          <w:rFonts w:ascii="Times New Roman" w:hAnsi="Times New Roman"/>
          <w:sz w:val="28"/>
          <w:szCs w:val="28"/>
        </w:rPr>
        <w:t>–1</w:t>
      </w:r>
      <w:r>
        <w:rPr>
          <w:rFonts w:ascii="Times New Roman" w:hAnsi="Times New Roman"/>
          <w:sz w:val="28"/>
          <w:szCs w:val="28"/>
        </w:rPr>
        <w:t>2</w:t>
      </w:r>
      <w:r w:rsidRPr="006D0B5D">
        <w:rPr>
          <w:rFonts w:ascii="Times New Roman" w:hAnsi="Times New Roman"/>
          <w:sz w:val="28"/>
          <w:szCs w:val="28"/>
        </w:rPr>
        <w:t>) с кратким ответом и семь заданий (задания 1</w:t>
      </w:r>
      <w:r>
        <w:rPr>
          <w:rFonts w:ascii="Times New Roman" w:hAnsi="Times New Roman"/>
          <w:sz w:val="28"/>
          <w:szCs w:val="28"/>
        </w:rPr>
        <w:t>3</w:t>
      </w:r>
      <w:r w:rsidRPr="006D0B5D">
        <w:rPr>
          <w:rFonts w:ascii="Times New Roman" w:hAnsi="Times New Roman"/>
          <w:sz w:val="28"/>
          <w:szCs w:val="28"/>
        </w:rPr>
        <w:t>–</w:t>
      </w:r>
      <w:r>
        <w:rPr>
          <w:rFonts w:ascii="Times New Roman" w:hAnsi="Times New Roman"/>
          <w:sz w:val="28"/>
          <w:szCs w:val="28"/>
        </w:rPr>
        <w:t>19</w:t>
      </w:r>
      <w:r w:rsidRPr="006D0B5D">
        <w:rPr>
          <w:rFonts w:ascii="Times New Roman" w:hAnsi="Times New Roman"/>
          <w:sz w:val="28"/>
          <w:szCs w:val="28"/>
        </w:rPr>
        <w:t xml:space="preserve">) с развёрнутым ответом, причём, задания </w:t>
      </w:r>
      <w:r>
        <w:rPr>
          <w:rFonts w:ascii="Times New Roman" w:hAnsi="Times New Roman"/>
          <w:sz w:val="28"/>
          <w:szCs w:val="28"/>
        </w:rPr>
        <w:t>9</w:t>
      </w:r>
      <w:r w:rsidRPr="006D0B5D">
        <w:rPr>
          <w:rFonts w:ascii="Times New Roman" w:hAnsi="Times New Roman"/>
          <w:sz w:val="28"/>
          <w:szCs w:val="28"/>
        </w:rPr>
        <w:t>–1</w:t>
      </w:r>
      <w:r>
        <w:rPr>
          <w:rFonts w:ascii="Times New Roman" w:hAnsi="Times New Roman"/>
          <w:sz w:val="28"/>
          <w:szCs w:val="28"/>
        </w:rPr>
        <w:t>7</w:t>
      </w:r>
      <w:r w:rsidRPr="006D0B5D">
        <w:rPr>
          <w:rFonts w:ascii="Times New Roman" w:hAnsi="Times New Roman"/>
          <w:sz w:val="28"/>
          <w:szCs w:val="28"/>
        </w:rPr>
        <w:t xml:space="preserve"> повышенного уровня сложности, задания </w:t>
      </w:r>
      <w:r>
        <w:rPr>
          <w:rFonts w:ascii="Times New Roman" w:hAnsi="Times New Roman"/>
          <w:sz w:val="28"/>
          <w:szCs w:val="28"/>
        </w:rPr>
        <w:t>18</w:t>
      </w:r>
      <w:r w:rsidRPr="006D0B5D">
        <w:rPr>
          <w:rFonts w:ascii="Times New Roman" w:hAnsi="Times New Roman"/>
          <w:sz w:val="28"/>
          <w:szCs w:val="28"/>
        </w:rPr>
        <w:t>–</w:t>
      </w:r>
      <w:r>
        <w:rPr>
          <w:rFonts w:ascii="Times New Roman" w:hAnsi="Times New Roman"/>
          <w:sz w:val="28"/>
          <w:szCs w:val="28"/>
        </w:rPr>
        <w:t>19</w:t>
      </w:r>
      <w:r w:rsidRPr="006D0B5D">
        <w:rPr>
          <w:rFonts w:ascii="Times New Roman" w:hAnsi="Times New Roman"/>
          <w:sz w:val="28"/>
          <w:szCs w:val="28"/>
        </w:rPr>
        <w:t xml:space="preserve"> высокого уровня сложности.</w:t>
      </w:r>
      <w:r w:rsidRPr="006D0B5D">
        <w:rPr>
          <w:rFonts w:ascii="TimesNewRomanPSMT" w:hAnsi="TimesNewRomanPSMT" w:cs="TimesNewRomanPSMT"/>
          <w:sz w:val="19"/>
          <w:szCs w:val="19"/>
        </w:rPr>
        <w:t xml:space="preserve"> </w:t>
      </w:r>
    </w:p>
    <w:p w:rsidR="005061D4" w:rsidRPr="00D968D5" w:rsidRDefault="005061D4" w:rsidP="005061D4">
      <w:pPr>
        <w:tabs>
          <w:tab w:val="left" w:pos="8655"/>
        </w:tabs>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Средние результаты в</w:t>
      </w:r>
      <w:r w:rsidRPr="006D0B5D">
        <w:rPr>
          <w:rFonts w:ascii="Times New Roman" w:eastAsia="Times New Roman" w:hAnsi="Times New Roman"/>
          <w:b/>
          <w:sz w:val="28"/>
          <w:szCs w:val="28"/>
          <w:lang w:eastAsia="ru-RU"/>
        </w:rPr>
        <w:t>ыполнени</w:t>
      </w:r>
      <w:r>
        <w:rPr>
          <w:rFonts w:ascii="Times New Roman" w:eastAsia="Times New Roman" w:hAnsi="Times New Roman"/>
          <w:b/>
          <w:sz w:val="28"/>
          <w:szCs w:val="28"/>
          <w:lang w:eastAsia="ru-RU"/>
        </w:rPr>
        <w:t>я</w:t>
      </w:r>
      <w:r w:rsidRPr="006D0B5D">
        <w:rPr>
          <w:rFonts w:ascii="Times New Roman" w:eastAsia="Times New Roman" w:hAnsi="Times New Roman"/>
          <w:b/>
          <w:sz w:val="28"/>
          <w:szCs w:val="28"/>
          <w:lang w:eastAsia="ru-RU"/>
        </w:rPr>
        <w:t xml:space="preserve"> части 1 задания </w:t>
      </w:r>
      <w:r w:rsidRPr="00D968D5">
        <w:rPr>
          <w:rFonts w:ascii="Times New Roman" w:eastAsia="Times New Roman" w:hAnsi="Times New Roman"/>
          <w:b/>
          <w:sz w:val="28"/>
          <w:szCs w:val="28"/>
          <w:lang w:eastAsia="ru-RU"/>
        </w:rPr>
        <w:t>№№1 – 8 (базовый уровень); №№ 9-12 части 2 (повышенный уровень)</w:t>
      </w:r>
    </w:p>
    <w:p w:rsidR="005061D4" w:rsidRPr="006D0B5D" w:rsidRDefault="005061D4" w:rsidP="007E451F">
      <w:pPr>
        <w:autoSpaceDE w:val="0"/>
        <w:autoSpaceDN w:val="0"/>
        <w:adjustRightInd w:val="0"/>
        <w:spacing w:after="0" w:line="240" w:lineRule="auto"/>
        <w:jc w:val="both"/>
        <w:rPr>
          <w:rFonts w:ascii="TimesNewRomanPSMT" w:hAnsi="TimesNewRomanPSMT" w:cs="TimesNewRomanPSMT"/>
          <w:b/>
          <w:sz w:val="19"/>
          <w:szCs w:val="19"/>
        </w:rPr>
      </w:pPr>
    </w:p>
    <w:p w:rsidR="005061D4" w:rsidRDefault="005061D4" w:rsidP="00A15860">
      <w:pPr>
        <w:tabs>
          <w:tab w:val="left" w:pos="1263"/>
        </w:tabs>
      </w:pPr>
      <w:r w:rsidRPr="005061D4">
        <w:rPr>
          <w:noProof/>
          <w:lang w:eastAsia="ru-RU"/>
        </w:rPr>
        <w:drawing>
          <wp:inline distT="0" distB="0" distL="0" distR="0">
            <wp:extent cx="5803780" cy="2234241"/>
            <wp:effectExtent l="19050" t="0" r="2552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061D4" w:rsidRDefault="005061D4" w:rsidP="005061D4">
      <w:pPr>
        <w:autoSpaceDE w:val="0"/>
        <w:autoSpaceDN w:val="0"/>
        <w:adjustRightInd w:val="0"/>
        <w:spacing w:after="0" w:line="240" w:lineRule="auto"/>
        <w:jc w:val="both"/>
        <w:rPr>
          <w:rFonts w:ascii="Times New Roman" w:eastAsia="Times New Roman" w:hAnsi="Times New Roman"/>
          <w:sz w:val="28"/>
          <w:szCs w:val="20"/>
          <w:lang w:eastAsia="ru-RU"/>
        </w:rPr>
      </w:pPr>
      <w:r w:rsidRPr="002F1A9F">
        <w:rPr>
          <w:rFonts w:ascii="Times New Roman" w:eastAsia="Times New Roman" w:hAnsi="Times New Roman"/>
          <w:sz w:val="28"/>
          <w:szCs w:val="20"/>
          <w:lang w:eastAsia="ru-RU"/>
        </w:rPr>
        <w:t>Задачи 1–</w:t>
      </w:r>
      <w:r>
        <w:rPr>
          <w:rFonts w:ascii="Times New Roman" w:eastAsia="Times New Roman" w:hAnsi="Times New Roman"/>
          <w:sz w:val="28"/>
          <w:szCs w:val="20"/>
          <w:lang w:eastAsia="ru-RU"/>
        </w:rPr>
        <w:t>8</w:t>
      </w:r>
      <w:r w:rsidRPr="002F1A9F">
        <w:rPr>
          <w:rFonts w:ascii="Times New Roman" w:eastAsia="Times New Roman" w:hAnsi="Times New Roman"/>
          <w:sz w:val="28"/>
          <w:szCs w:val="20"/>
          <w:lang w:eastAsia="ru-RU"/>
        </w:rPr>
        <w:t xml:space="preserve"> были представлены заданиями базового уровня школьного курса математики, соответствующими требованиям Федерального компонента образовательного стандарта. Задания были посильны для учащихся, подготовка которых отвечает этому уровню. Планируемые показатели трудности этих заданий (процент верных ответов) находились в промежутке от </w:t>
      </w:r>
      <w:r>
        <w:rPr>
          <w:rFonts w:ascii="Times New Roman" w:eastAsia="Times New Roman" w:hAnsi="Times New Roman"/>
          <w:sz w:val="28"/>
          <w:szCs w:val="20"/>
          <w:lang w:eastAsia="ru-RU"/>
        </w:rPr>
        <w:t>50</w:t>
      </w:r>
      <w:r w:rsidRPr="002F1A9F">
        <w:rPr>
          <w:rFonts w:ascii="Times New Roman" w:eastAsia="Times New Roman" w:hAnsi="Times New Roman"/>
          <w:sz w:val="28"/>
          <w:szCs w:val="20"/>
          <w:lang w:eastAsia="ru-RU"/>
        </w:rPr>
        <w:t xml:space="preserve">% до </w:t>
      </w:r>
      <w:r>
        <w:rPr>
          <w:rFonts w:ascii="Times New Roman" w:eastAsia="Times New Roman" w:hAnsi="Times New Roman"/>
          <w:sz w:val="28"/>
          <w:szCs w:val="20"/>
          <w:lang w:eastAsia="ru-RU"/>
        </w:rPr>
        <w:t>99,5</w:t>
      </w:r>
      <w:r w:rsidRPr="002F1A9F">
        <w:rPr>
          <w:rFonts w:ascii="Times New Roman" w:eastAsia="Times New Roman" w:hAnsi="Times New Roman"/>
          <w:sz w:val="28"/>
          <w:szCs w:val="20"/>
          <w:lang w:eastAsia="ru-RU"/>
        </w:rPr>
        <w:t>%. По Забайкальскому краю результаты выполнения заданий части 1 составили</w:t>
      </w:r>
      <w:r>
        <w:rPr>
          <w:rFonts w:ascii="Times New Roman" w:eastAsia="Times New Roman" w:hAnsi="Times New Roman"/>
          <w:sz w:val="28"/>
          <w:szCs w:val="20"/>
          <w:lang w:eastAsia="ru-RU"/>
        </w:rPr>
        <w:t xml:space="preserve"> от 42.83% до 99,16%</w:t>
      </w:r>
    </w:p>
    <w:p w:rsidR="005061D4" w:rsidRPr="00D968D5" w:rsidRDefault="005061D4" w:rsidP="005061D4">
      <w:pPr>
        <w:autoSpaceDE w:val="0"/>
        <w:autoSpaceDN w:val="0"/>
        <w:adjustRightInd w:val="0"/>
        <w:spacing w:after="0" w:line="240" w:lineRule="auto"/>
        <w:jc w:val="both"/>
        <w:rPr>
          <w:rFonts w:ascii="Times New Roman" w:eastAsia="Times New Roman" w:hAnsi="Times New Roman"/>
          <w:sz w:val="28"/>
          <w:szCs w:val="20"/>
          <w:lang w:eastAsia="ru-RU"/>
        </w:rPr>
      </w:pPr>
      <w:r w:rsidRPr="002F1A9F">
        <w:rPr>
          <w:rFonts w:ascii="Times New Roman" w:eastAsia="Times New Roman" w:hAnsi="Times New Roman"/>
          <w:sz w:val="28"/>
          <w:szCs w:val="20"/>
          <w:lang w:eastAsia="ru-RU"/>
        </w:rPr>
        <w:t xml:space="preserve"> В </w:t>
      </w:r>
      <w:r w:rsidRPr="002F1A9F">
        <w:rPr>
          <w:rFonts w:ascii="Times New Roman" w:eastAsia="Times New Roman" w:hAnsi="Times New Roman"/>
          <w:b/>
          <w:sz w:val="28"/>
          <w:szCs w:val="20"/>
          <w:lang w:eastAsia="ru-RU"/>
        </w:rPr>
        <w:t>первую часть</w:t>
      </w:r>
      <w:r w:rsidRPr="002F1A9F">
        <w:rPr>
          <w:rFonts w:ascii="Times New Roman" w:eastAsia="Times New Roman" w:hAnsi="Times New Roman"/>
          <w:sz w:val="28"/>
          <w:szCs w:val="20"/>
          <w:lang w:eastAsia="ru-RU"/>
        </w:rPr>
        <w:t xml:space="preserve"> экзаменационной работы были включены </w:t>
      </w:r>
      <w:r>
        <w:rPr>
          <w:rFonts w:ascii="Times New Roman" w:eastAsia="Times New Roman" w:hAnsi="Times New Roman"/>
          <w:sz w:val="28"/>
          <w:szCs w:val="20"/>
          <w:lang w:eastAsia="ru-RU"/>
        </w:rPr>
        <w:t>8</w:t>
      </w:r>
      <w:r w:rsidRPr="002F1A9F">
        <w:rPr>
          <w:rFonts w:ascii="Times New Roman" w:eastAsia="Times New Roman" w:hAnsi="Times New Roman"/>
          <w:sz w:val="28"/>
          <w:szCs w:val="20"/>
          <w:lang w:eastAsia="ru-RU"/>
        </w:rPr>
        <w:t xml:space="preserve"> заданий с кратким ответом базового уровня сложности (1– </w:t>
      </w:r>
      <w:r>
        <w:rPr>
          <w:rFonts w:ascii="Times New Roman" w:eastAsia="Times New Roman" w:hAnsi="Times New Roman"/>
          <w:sz w:val="28"/>
          <w:szCs w:val="20"/>
          <w:lang w:eastAsia="ru-RU"/>
        </w:rPr>
        <w:t>8</w:t>
      </w:r>
      <w:r w:rsidRPr="002F1A9F">
        <w:rPr>
          <w:rFonts w:ascii="Times New Roman" w:eastAsia="Times New Roman" w:hAnsi="Times New Roman"/>
          <w:sz w:val="28"/>
          <w:szCs w:val="20"/>
          <w:lang w:eastAsia="ru-RU"/>
        </w:rPr>
        <w:t xml:space="preserve">), проверяющие базовые вычислительные и логические умения и навыки, навыки аналитических преобразований, умения </w:t>
      </w:r>
      <w:r w:rsidRPr="002F1A9F">
        <w:rPr>
          <w:rFonts w:ascii="Times New Roman" w:eastAsia="Times New Roman" w:hAnsi="Times New Roman"/>
          <w:sz w:val="28"/>
          <w:szCs w:val="20"/>
          <w:lang w:eastAsia="ru-RU"/>
        </w:rPr>
        <w:lastRenderedPageBreak/>
        <w:t>анализировать информацию, представленную в текстах, графиках и таблицах, ориентироваться в простейших геометрических конструкциях</w:t>
      </w:r>
      <w:r w:rsidRPr="00D968D5">
        <w:rPr>
          <w:rFonts w:ascii="Times New Roman" w:eastAsia="Times New Roman" w:hAnsi="Times New Roman"/>
          <w:sz w:val="28"/>
          <w:szCs w:val="20"/>
          <w:lang w:eastAsia="ru-RU"/>
        </w:rPr>
        <w:t>.</w:t>
      </w:r>
    </w:p>
    <w:p w:rsidR="005061D4" w:rsidRPr="006D0B5D" w:rsidRDefault="005061D4" w:rsidP="005061D4">
      <w:pPr>
        <w:tabs>
          <w:tab w:val="left" w:pos="266"/>
        </w:tabs>
        <w:spacing w:after="0" w:line="240" w:lineRule="auto"/>
        <w:jc w:val="both"/>
        <w:rPr>
          <w:rFonts w:ascii="Times New Roman" w:eastAsia="Times New Roman" w:hAnsi="Times New Roman"/>
          <w:sz w:val="28"/>
          <w:szCs w:val="20"/>
          <w:lang w:eastAsia="ru-RU"/>
        </w:rPr>
      </w:pPr>
      <w:r w:rsidRPr="005061D4">
        <w:rPr>
          <w:rFonts w:ascii="Times New Roman" w:eastAsia="Times New Roman" w:hAnsi="Times New Roman"/>
          <w:b/>
          <w:sz w:val="28"/>
          <w:szCs w:val="20"/>
          <w:lang w:eastAsia="ru-RU"/>
        </w:rPr>
        <w:t>Можно сделать вывод</w:t>
      </w:r>
      <w:r w:rsidRPr="006D0B5D">
        <w:rPr>
          <w:rFonts w:ascii="Times New Roman" w:eastAsia="Times New Roman" w:hAnsi="Times New Roman"/>
          <w:sz w:val="28"/>
          <w:szCs w:val="20"/>
          <w:lang w:eastAsia="ru-RU"/>
        </w:rPr>
        <w:t xml:space="preserve"> о том, что задания базового уровня на проверку умения использовать приобретенные знания и умения в практической деятельности и повседневной жизни, в которых требовалось решить задачи на проценты и прочитать диаграмму, выполняются большинством выпускников. Говоря об анализе результатов ЕГЭ по математике, хуже всего выпускники </w:t>
      </w:r>
      <w:r>
        <w:rPr>
          <w:rFonts w:ascii="Times New Roman" w:eastAsia="Times New Roman" w:hAnsi="Times New Roman"/>
          <w:sz w:val="28"/>
          <w:szCs w:val="20"/>
          <w:lang w:eastAsia="ru-RU"/>
        </w:rPr>
        <w:t xml:space="preserve">справились с геометрическим смыслом производной, </w:t>
      </w:r>
      <w:r w:rsidRPr="006D0B5D">
        <w:rPr>
          <w:rFonts w:ascii="Times New Roman" w:eastAsia="Times New Roman" w:hAnsi="Times New Roman"/>
          <w:sz w:val="28"/>
          <w:szCs w:val="20"/>
          <w:lang w:eastAsia="ru-RU"/>
        </w:rPr>
        <w:t xml:space="preserve">данное задание базового уровня; </w:t>
      </w:r>
      <w:r>
        <w:rPr>
          <w:rFonts w:ascii="Times New Roman" w:eastAsia="Times New Roman" w:hAnsi="Times New Roman"/>
          <w:sz w:val="28"/>
          <w:szCs w:val="20"/>
          <w:lang w:eastAsia="ru-RU"/>
        </w:rPr>
        <w:t xml:space="preserve">на повышенном уровне хуже всего справились с заданием на исследовании функции с помощью производной, </w:t>
      </w:r>
      <w:r w:rsidRPr="006D0B5D">
        <w:rPr>
          <w:rFonts w:ascii="Times New Roman" w:eastAsia="Times New Roman" w:hAnsi="Times New Roman"/>
          <w:sz w:val="28"/>
          <w:szCs w:val="20"/>
          <w:lang w:eastAsia="ru-RU"/>
        </w:rPr>
        <w:t>при этом можно говорить о том, выпускники лучше справились с текстовыми задачами по сравнению с прошлым годом</w:t>
      </w:r>
      <w:r>
        <w:rPr>
          <w:rFonts w:ascii="Times New Roman" w:eastAsia="Times New Roman" w:hAnsi="Times New Roman"/>
          <w:sz w:val="28"/>
          <w:szCs w:val="20"/>
          <w:lang w:eastAsia="ru-RU"/>
        </w:rPr>
        <w:t>.</w:t>
      </w:r>
      <w:r w:rsidRPr="006D0B5D">
        <w:rPr>
          <w:rFonts w:ascii="Times New Roman" w:eastAsia="Times New Roman" w:hAnsi="Times New Roman"/>
          <w:sz w:val="28"/>
          <w:szCs w:val="20"/>
          <w:lang w:eastAsia="ru-RU"/>
        </w:rPr>
        <w:t xml:space="preserve"> </w:t>
      </w:r>
    </w:p>
    <w:p w:rsidR="005061D4" w:rsidRPr="006D0B5D" w:rsidRDefault="005061D4" w:rsidP="005061D4">
      <w:pPr>
        <w:tabs>
          <w:tab w:val="left" w:pos="266"/>
        </w:tabs>
        <w:spacing w:after="0" w:line="240"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Также как и в прошлом </w:t>
      </w:r>
      <w:proofErr w:type="gramStart"/>
      <w:r>
        <w:rPr>
          <w:rFonts w:ascii="Times New Roman" w:eastAsia="Times New Roman" w:hAnsi="Times New Roman"/>
          <w:sz w:val="28"/>
          <w:szCs w:val="20"/>
          <w:lang w:eastAsia="ru-RU"/>
        </w:rPr>
        <w:t>году</w:t>
      </w:r>
      <w:proofErr w:type="gramEnd"/>
      <w:r>
        <w:rPr>
          <w:rFonts w:ascii="Times New Roman" w:eastAsia="Times New Roman" w:hAnsi="Times New Roman"/>
          <w:sz w:val="28"/>
          <w:szCs w:val="20"/>
          <w:lang w:eastAsia="ru-RU"/>
        </w:rPr>
        <w:t xml:space="preserve"> в</w:t>
      </w:r>
      <w:r w:rsidRPr="006D0B5D">
        <w:rPr>
          <w:rFonts w:ascii="Times New Roman" w:eastAsia="Times New Roman" w:hAnsi="Times New Roman"/>
          <w:sz w:val="28"/>
          <w:szCs w:val="20"/>
          <w:lang w:eastAsia="ru-RU"/>
        </w:rPr>
        <w:t>ыпускники хуже справились с заданиями №№1,</w:t>
      </w:r>
      <w:r>
        <w:rPr>
          <w:rFonts w:ascii="Times New Roman" w:eastAsia="Times New Roman" w:hAnsi="Times New Roman"/>
          <w:sz w:val="28"/>
          <w:szCs w:val="20"/>
          <w:lang w:eastAsia="ru-RU"/>
        </w:rPr>
        <w:t>6</w:t>
      </w:r>
      <w:r w:rsidRPr="006D0B5D">
        <w:rPr>
          <w:rFonts w:ascii="Times New Roman" w:eastAsia="Times New Roman" w:hAnsi="Times New Roman"/>
          <w:sz w:val="28"/>
          <w:szCs w:val="20"/>
          <w:lang w:eastAsia="ru-RU"/>
        </w:rPr>
        <w:t>,12,на умения:</w:t>
      </w:r>
    </w:p>
    <w:p w:rsidR="005061D4" w:rsidRPr="006D0B5D" w:rsidRDefault="005061D4" w:rsidP="005061D4">
      <w:pPr>
        <w:tabs>
          <w:tab w:val="left" w:pos="266"/>
        </w:tabs>
        <w:spacing w:after="0" w:line="240" w:lineRule="auto"/>
        <w:jc w:val="both"/>
        <w:rPr>
          <w:rFonts w:ascii="Times New Roman" w:eastAsia="Times New Roman" w:hAnsi="Times New Roman"/>
          <w:sz w:val="28"/>
          <w:szCs w:val="20"/>
          <w:lang w:eastAsia="ru-RU"/>
        </w:rPr>
      </w:pPr>
      <w:r w:rsidRPr="006D0B5D">
        <w:rPr>
          <w:rFonts w:ascii="Times New Roman" w:eastAsia="Times New Roman" w:hAnsi="Times New Roman"/>
          <w:sz w:val="28"/>
          <w:szCs w:val="20"/>
          <w:lang w:eastAsia="ru-RU"/>
        </w:rPr>
        <w:t>- использовать приобретенные знания и умения в практической деятельности и повседневной жизни (чтение диаграмм);</w:t>
      </w:r>
    </w:p>
    <w:p w:rsidR="005061D4" w:rsidRPr="006D0B5D" w:rsidRDefault="005061D4" w:rsidP="005061D4">
      <w:pPr>
        <w:tabs>
          <w:tab w:val="left" w:pos="266"/>
        </w:tabs>
        <w:spacing w:after="0" w:line="240" w:lineRule="auto"/>
        <w:jc w:val="both"/>
        <w:rPr>
          <w:rFonts w:ascii="Times New Roman" w:eastAsia="Times New Roman" w:hAnsi="Times New Roman"/>
          <w:sz w:val="28"/>
          <w:szCs w:val="20"/>
          <w:lang w:eastAsia="ru-RU"/>
        </w:rPr>
      </w:pPr>
      <w:r w:rsidRPr="006D0B5D">
        <w:rPr>
          <w:rFonts w:ascii="Times New Roman" w:eastAsia="Times New Roman" w:hAnsi="Times New Roman"/>
          <w:sz w:val="28"/>
          <w:szCs w:val="20"/>
          <w:lang w:eastAsia="ru-RU"/>
        </w:rPr>
        <w:t>-</w:t>
      </w:r>
      <w:r w:rsidRPr="006D0B5D">
        <w:rPr>
          <w:sz w:val="18"/>
          <w:szCs w:val="18"/>
        </w:rPr>
        <w:t xml:space="preserve"> </w:t>
      </w:r>
      <w:r w:rsidRPr="006D0B5D">
        <w:rPr>
          <w:rFonts w:ascii="Times New Roman" w:eastAsia="Times New Roman" w:hAnsi="Times New Roman"/>
          <w:sz w:val="28"/>
          <w:szCs w:val="20"/>
          <w:lang w:eastAsia="ru-RU"/>
        </w:rPr>
        <w:t xml:space="preserve">выполнять действия с геометрическими фигурами </w:t>
      </w:r>
      <w:proofErr w:type="gramStart"/>
      <w:r w:rsidRPr="006D0B5D">
        <w:rPr>
          <w:rFonts w:ascii="Times New Roman" w:eastAsia="Times New Roman" w:hAnsi="Times New Roman"/>
          <w:sz w:val="28"/>
          <w:szCs w:val="20"/>
          <w:lang w:eastAsia="ru-RU"/>
        </w:rPr>
        <w:t xml:space="preserve">( </w:t>
      </w:r>
      <w:proofErr w:type="gramEnd"/>
      <w:r>
        <w:rPr>
          <w:rFonts w:ascii="Times New Roman" w:eastAsia="Times New Roman" w:hAnsi="Times New Roman"/>
          <w:sz w:val="28"/>
          <w:szCs w:val="20"/>
          <w:lang w:eastAsia="ru-RU"/>
        </w:rPr>
        <w:t>планиметрия</w:t>
      </w:r>
      <w:r w:rsidRPr="006D0B5D">
        <w:rPr>
          <w:rFonts w:ascii="Times New Roman" w:eastAsia="Times New Roman" w:hAnsi="Times New Roman"/>
          <w:sz w:val="28"/>
          <w:szCs w:val="20"/>
          <w:lang w:eastAsia="ru-RU"/>
        </w:rPr>
        <w:t>);</w:t>
      </w:r>
    </w:p>
    <w:p w:rsidR="005061D4" w:rsidRPr="006D0B5D" w:rsidRDefault="005061D4" w:rsidP="005061D4">
      <w:pPr>
        <w:tabs>
          <w:tab w:val="left" w:pos="266"/>
        </w:tabs>
        <w:spacing w:after="0" w:line="240" w:lineRule="auto"/>
        <w:jc w:val="both"/>
        <w:rPr>
          <w:rFonts w:ascii="Times New Roman" w:eastAsia="Times New Roman" w:hAnsi="Times New Roman"/>
          <w:sz w:val="28"/>
          <w:szCs w:val="20"/>
          <w:lang w:eastAsia="ru-RU"/>
        </w:rPr>
      </w:pPr>
      <w:r w:rsidRPr="006D0B5D">
        <w:rPr>
          <w:rFonts w:ascii="Times New Roman" w:eastAsia="Times New Roman" w:hAnsi="Times New Roman"/>
          <w:sz w:val="28"/>
          <w:szCs w:val="20"/>
          <w:lang w:eastAsia="ru-RU"/>
        </w:rPr>
        <w:t>-выполнять действия с функциями (стандартные алгоритмы исследования функция с помощью производной)</w:t>
      </w:r>
    </w:p>
    <w:p w:rsidR="005061D4" w:rsidRDefault="005061D4" w:rsidP="005061D4">
      <w:pPr>
        <w:tabs>
          <w:tab w:val="left" w:pos="266"/>
        </w:tabs>
        <w:spacing w:after="0" w:line="240" w:lineRule="auto"/>
        <w:jc w:val="both"/>
        <w:rPr>
          <w:rFonts w:ascii="Times New Roman" w:eastAsia="Times New Roman" w:hAnsi="Times New Roman"/>
          <w:sz w:val="28"/>
          <w:szCs w:val="20"/>
          <w:lang w:eastAsia="ru-RU"/>
        </w:rPr>
      </w:pPr>
      <w:r w:rsidRPr="006D0B5D">
        <w:rPr>
          <w:rFonts w:ascii="Times New Roman" w:eastAsia="Times New Roman" w:hAnsi="Times New Roman"/>
          <w:sz w:val="28"/>
          <w:szCs w:val="20"/>
          <w:lang w:eastAsia="ru-RU"/>
        </w:rPr>
        <w:t>Причиной, является неумение старшеклассников прочитать условия задачи и правильно их понять и интерпретировать. Много ошибок сдающие ЕГЭ допускают при вычислениях. Многие выпускники элементарно не умеют считать без калькулятора. Наблюдаются проблемы начальной школы. Про</w:t>
      </w:r>
      <w:r>
        <w:rPr>
          <w:rFonts w:ascii="Times New Roman" w:eastAsia="Times New Roman" w:hAnsi="Times New Roman"/>
          <w:sz w:val="28"/>
          <w:szCs w:val="20"/>
          <w:lang w:eastAsia="ru-RU"/>
        </w:rPr>
        <w:t>тотипы всех предложенных задач «</w:t>
      </w:r>
      <w:r w:rsidRPr="006D0B5D">
        <w:rPr>
          <w:rFonts w:ascii="Times New Roman" w:eastAsia="Times New Roman" w:hAnsi="Times New Roman"/>
          <w:sz w:val="28"/>
          <w:szCs w:val="20"/>
          <w:lang w:eastAsia="ru-RU"/>
        </w:rPr>
        <w:t>Части 1</w:t>
      </w:r>
      <w:r>
        <w:rPr>
          <w:rFonts w:ascii="Times New Roman" w:eastAsia="Times New Roman" w:hAnsi="Times New Roman"/>
          <w:sz w:val="28"/>
          <w:szCs w:val="20"/>
          <w:lang w:eastAsia="ru-RU"/>
        </w:rPr>
        <w:t>»</w:t>
      </w:r>
      <w:r w:rsidRPr="006D0B5D">
        <w:rPr>
          <w:rFonts w:ascii="Times New Roman" w:eastAsia="Times New Roman" w:hAnsi="Times New Roman"/>
          <w:sz w:val="28"/>
          <w:szCs w:val="20"/>
          <w:lang w:eastAsia="ru-RU"/>
        </w:rPr>
        <w:t xml:space="preserve"> и </w:t>
      </w:r>
      <w:r>
        <w:rPr>
          <w:rFonts w:ascii="Times New Roman" w:eastAsia="Times New Roman" w:hAnsi="Times New Roman"/>
          <w:sz w:val="28"/>
          <w:szCs w:val="20"/>
          <w:lang w:eastAsia="ru-RU"/>
        </w:rPr>
        <w:t>«</w:t>
      </w:r>
      <w:r w:rsidRPr="006D0B5D">
        <w:rPr>
          <w:rFonts w:ascii="Times New Roman" w:eastAsia="Times New Roman" w:hAnsi="Times New Roman"/>
          <w:sz w:val="28"/>
          <w:szCs w:val="20"/>
          <w:lang w:eastAsia="ru-RU"/>
        </w:rPr>
        <w:t>Части 2</w:t>
      </w:r>
      <w:r>
        <w:rPr>
          <w:rFonts w:ascii="Times New Roman" w:eastAsia="Times New Roman" w:hAnsi="Times New Roman"/>
          <w:sz w:val="28"/>
          <w:szCs w:val="20"/>
          <w:lang w:eastAsia="ru-RU"/>
        </w:rPr>
        <w:t>»</w:t>
      </w:r>
      <w:r w:rsidRPr="006D0B5D">
        <w:rPr>
          <w:rFonts w:ascii="Times New Roman" w:eastAsia="Times New Roman" w:hAnsi="Times New Roman"/>
          <w:sz w:val="28"/>
          <w:szCs w:val="20"/>
          <w:lang w:eastAsia="ru-RU"/>
        </w:rPr>
        <w:t xml:space="preserve"> повышенного уровня были знакомы выпускникам благодаря наличию банка заданий по математике и серии </w:t>
      </w:r>
      <w:r>
        <w:rPr>
          <w:rFonts w:ascii="Times New Roman" w:eastAsia="Times New Roman" w:hAnsi="Times New Roman"/>
          <w:sz w:val="28"/>
          <w:szCs w:val="20"/>
          <w:lang w:eastAsia="ru-RU"/>
        </w:rPr>
        <w:t>проведенных тренировочных работ.</w:t>
      </w:r>
      <w:r w:rsidRPr="006D0B5D">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О</w:t>
      </w:r>
      <w:r w:rsidRPr="006D0B5D">
        <w:rPr>
          <w:rFonts w:ascii="Times New Roman" w:eastAsia="Times New Roman" w:hAnsi="Times New Roman"/>
          <w:sz w:val="28"/>
          <w:szCs w:val="20"/>
          <w:lang w:eastAsia="ru-RU"/>
        </w:rPr>
        <w:t>ткрыт</w:t>
      </w:r>
      <w:r>
        <w:rPr>
          <w:rFonts w:ascii="Times New Roman" w:eastAsia="Times New Roman" w:hAnsi="Times New Roman"/>
          <w:sz w:val="28"/>
          <w:szCs w:val="20"/>
          <w:lang w:eastAsia="ru-RU"/>
        </w:rPr>
        <w:t>ый банк заданий по математике</w:t>
      </w:r>
      <w:r w:rsidRPr="006D0B5D">
        <w:rPr>
          <w:rFonts w:ascii="Times New Roman" w:eastAsia="Times New Roman" w:hAnsi="Times New Roman"/>
          <w:sz w:val="28"/>
          <w:szCs w:val="20"/>
          <w:lang w:eastAsia="ru-RU"/>
        </w:rPr>
        <w:t xml:space="preserve"> позволяет учителям включать зада</w:t>
      </w:r>
      <w:r>
        <w:rPr>
          <w:rFonts w:ascii="Times New Roman" w:eastAsia="Times New Roman" w:hAnsi="Times New Roman"/>
          <w:sz w:val="28"/>
          <w:szCs w:val="20"/>
          <w:lang w:eastAsia="ru-RU"/>
        </w:rPr>
        <w:t>чи разных тематических разделов</w:t>
      </w:r>
      <w:r w:rsidRPr="006D0B5D">
        <w:rPr>
          <w:rFonts w:ascii="Times New Roman" w:eastAsia="Times New Roman" w:hAnsi="Times New Roman"/>
          <w:sz w:val="28"/>
          <w:szCs w:val="20"/>
          <w:lang w:eastAsia="ru-RU"/>
        </w:rPr>
        <w:t xml:space="preserve">  в текущий учебный процесс, а на завершающем этапе подготовки к экзамену эффективно проводить диагностику недостатков и их устранение в усвоении отдельных тем путем решения серий конкретных задач.</w:t>
      </w:r>
    </w:p>
    <w:p w:rsidR="005061D4" w:rsidRDefault="005061D4" w:rsidP="005061D4">
      <w:pPr>
        <w:tabs>
          <w:tab w:val="left" w:pos="266"/>
        </w:tabs>
        <w:spacing w:after="0" w:line="240" w:lineRule="auto"/>
        <w:jc w:val="center"/>
        <w:rPr>
          <w:rFonts w:ascii="Times New Roman" w:eastAsia="Times New Roman" w:hAnsi="Times New Roman"/>
          <w:b/>
          <w:bCs/>
          <w:sz w:val="28"/>
          <w:szCs w:val="20"/>
          <w:lang w:eastAsia="ru-RU"/>
        </w:rPr>
      </w:pPr>
      <w:r w:rsidRPr="005061D4">
        <w:rPr>
          <w:rFonts w:ascii="Times New Roman" w:eastAsia="Times New Roman" w:hAnsi="Times New Roman"/>
          <w:b/>
          <w:bCs/>
          <w:sz w:val="28"/>
          <w:szCs w:val="20"/>
          <w:lang w:eastAsia="ru-RU"/>
        </w:rPr>
        <w:t>Средние результаты выполнения заданий 13 – 19</w:t>
      </w:r>
      <w:r w:rsidRPr="005061D4">
        <w:rPr>
          <w:rFonts w:ascii="Times New Roman" w:eastAsia="Times New Roman" w:hAnsi="Times New Roman"/>
          <w:b/>
          <w:bCs/>
          <w:sz w:val="28"/>
          <w:szCs w:val="20"/>
          <w:vertAlign w:val="subscript"/>
          <w:lang w:eastAsia="ru-RU"/>
        </w:rPr>
        <w:t xml:space="preserve">  </w:t>
      </w:r>
      <w:r w:rsidRPr="005061D4">
        <w:rPr>
          <w:rFonts w:ascii="Times New Roman" w:eastAsia="Times New Roman" w:hAnsi="Times New Roman"/>
          <w:b/>
          <w:bCs/>
          <w:sz w:val="28"/>
          <w:szCs w:val="20"/>
          <w:lang w:eastAsia="ru-RU"/>
        </w:rPr>
        <w:t>части 2</w:t>
      </w:r>
    </w:p>
    <w:p w:rsidR="005061D4" w:rsidRDefault="005061D4" w:rsidP="005061D4">
      <w:pPr>
        <w:tabs>
          <w:tab w:val="left" w:pos="266"/>
        </w:tabs>
        <w:spacing w:after="0" w:line="240" w:lineRule="auto"/>
        <w:jc w:val="center"/>
        <w:rPr>
          <w:rFonts w:ascii="Times New Roman" w:eastAsia="Times New Roman" w:hAnsi="Times New Roman"/>
          <w:b/>
          <w:bCs/>
          <w:sz w:val="28"/>
          <w:szCs w:val="20"/>
          <w:lang w:eastAsia="ru-RU"/>
        </w:rPr>
      </w:pPr>
      <w:r w:rsidRPr="005061D4">
        <w:rPr>
          <w:rFonts w:ascii="Times New Roman" w:eastAsia="Times New Roman" w:hAnsi="Times New Roman"/>
          <w:b/>
          <w:bCs/>
          <w:sz w:val="28"/>
          <w:szCs w:val="20"/>
          <w:lang w:eastAsia="ru-RU"/>
        </w:rPr>
        <w:t>(задания с развёрнутым ответом)</w:t>
      </w:r>
    </w:p>
    <w:p w:rsidR="005061D4" w:rsidRPr="006D0B5D" w:rsidRDefault="005061D4" w:rsidP="005061D4">
      <w:pPr>
        <w:tabs>
          <w:tab w:val="left" w:pos="266"/>
        </w:tabs>
        <w:spacing w:after="0" w:line="360" w:lineRule="auto"/>
        <w:jc w:val="both"/>
        <w:rPr>
          <w:rFonts w:ascii="Times New Roman" w:eastAsia="Times New Roman" w:hAnsi="Times New Roman"/>
          <w:sz w:val="28"/>
          <w:szCs w:val="20"/>
          <w:lang w:eastAsia="ru-RU"/>
        </w:rPr>
      </w:pPr>
      <w:r w:rsidRPr="005061D4">
        <w:rPr>
          <w:rFonts w:ascii="Times New Roman" w:eastAsia="Times New Roman" w:hAnsi="Times New Roman"/>
          <w:noProof/>
          <w:sz w:val="28"/>
          <w:szCs w:val="20"/>
          <w:lang w:eastAsia="ru-RU"/>
        </w:rPr>
        <w:drawing>
          <wp:inline distT="0" distB="0" distL="0" distR="0">
            <wp:extent cx="5604737" cy="2389517"/>
            <wp:effectExtent l="19050" t="0" r="15013"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061D4" w:rsidRPr="006D0B5D" w:rsidRDefault="005061D4" w:rsidP="005061D4">
      <w:pPr>
        <w:autoSpaceDE w:val="0"/>
        <w:autoSpaceDN w:val="0"/>
        <w:adjustRightInd w:val="0"/>
        <w:spacing w:after="0" w:line="240" w:lineRule="auto"/>
        <w:jc w:val="both"/>
        <w:rPr>
          <w:rFonts w:ascii="Times New Roman" w:hAnsi="Times New Roman"/>
          <w:color w:val="000000"/>
          <w:sz w:val="28"/>
          <w:szCs w:val="28"/>
        </w:rPr>
      </w:pPr>
      <w:r w:rsidRPr="006D0B5D">
        <w:rPr>
          <w:rFonts w:ascii="Times New Roman" w:hAnsi="Times New Roman"/>
          <w:color w:val="000000"/>
          <w:sz w:val="28"/>
          <w:szCs w:val="28"/>
        </w:rPr>
        <w:t xml:space="preserve">Проведенный анализ первой и второй частей экзамена (базового и повышенного уровней) позволяет сделать вывод о том, что существенная часть текущего </w:t>
      </w:r>
      <w:r w:rsidRPr="006D0B5D">
        <w:rPr>
          <w:rFonts w:ascii="Times New Roman" w:hAnsi="Times New Roman"/>
          <w:color w:val="000000"/>
          <w:sz w:val="28"/>
          <w:szCs w:val="28"/>
        </w:rPr>
        <w:lastRenderedPageBreak/>
        <w:t xml:space="preserve">школьного курса математики не осваивается значительным количеством учащихся, требуется существенная перестройка содержания школьной математики, причем эта перестройка должна учитывать индивидуальные образовательные запросы и возможности различных целевых групп учащихся. </w:t>
      </w:r>
      <w:r>
        <w:rPr>
          <w:rFonts w:ascii="Times New Roman" w:hAnsi="Times New Roman"/>
          <w:color w:val="000000"/>
          <w:sz w:val="28"/>
          <w:szCs w:val="28"/>
        </w:rPr>
        <w:t>Н</w:t>
      </w:r>
      <w:r w:rsidRPr="006D0B5D">
        <w:rPr>
          <w:rFonts w:ascii="Times New Roman" w:hAnsi="Times New Roman"/>
          <w:color w:val="000000"/>
          <w:sz w:val="28"/>
          <w:szCs w:val="28"/>
        </w:rPr>
        <w:t>изкий уровень математической подготовки, не позволяет учащимся успешно осваивать другие предметы естественно</w:t>
      </w:r>
      <w:r>
        <w:rPr>
          <w:rFonts w:ascii="Times New Roman" w:hAnsi="Times New Roman"/>
          <w:color w:val="000000"/>
          <w:sz w:val="28"/>
          <w:szCs w:val="28"/>
        </w:rPr>
        <w:t xml:space="preserve"> </w:t>
      </w:r>
      <w:r w:rsidRPr="006D0B5D">
        <w:rPr>
          <w:rFonts w:ascii="Times New Roman" w:hAnsi="Times New Roman"/>
          <w:color w:val="000000"/>
          <w:sz w:val="28"/>
          <w:szCs w:val="28"/>
        </w:rPr>
        <w:t>-</w:t>
      </w:r>
      <w:r>
        <w:rPr>
          <w:rFonts w:ascii="Times New Roman" w:hAnsi="Times New Roman"/>
          <w:color w:val="000000"/>
          <w:sz w:val="28"/>
          <w:szCs w:val="28"/>
        </w:rPr>
        <w:t xml:space="preserve"> </w:t>
      </w:r>
      <w:r w:rsidRPr="006D0B5D">
        <w:rPr>
          <w:rFonts w:ascii="Times New Roman" w:hAnsi="Times New Roman"/>
          <w:color w:val="000000"/>
          <w:sz w:val="28"/>
          <w:szCs w:val="28"/>
        </w:rPr>
        <w:t>научного цикла,</w:t>
      </w:r>
      <w:r>
        <w:rPr>
          <w:rFonts w:ascii="Times New Roman" w:hAnsi="Times New Roman"/>
          <w:color w:val="000000"/>
          <w:sz w:val="28"/>
          <w:szCs w:val="28"/>
        </w:rPr>
        <w:t xml:space="preserve"> например, </w:t>
      </w:r>
      <w:r w:rsidRPr="006D0B5D">
        <w:rPr>
          <w:rFonts w:ascii="Times New Roman" w:hAnsi="Times New Roman"/>
          <w:color w:val="000000"/>
          <w:sz w:val="28"/>
          <w:szCs w:val="28"/>
        </w:rPr>
        <w:t xml:space="preserve"> резко снижает общую способность учиться. </w:t>
      </w:r>
    </w:p>
    <w:p w:rsidR="005061D4" w:rsidRPr="006D0B5D" w:rsidRDefault="005061D4" w:rsidP="005061D4">
      <w:pPr>
        <w:autoSpaceDE w:val="0"/>
        <w:autoSpaceDN w:val="0"/>
        <w:adjustRightInd w:val="0"/>
        <w:spacing w:after="0" w:line="240" w:lineRule="auto"/>
        <w:jc w:val="both"/>
        <w:rPr>
          <w:rFonts w:ascii="Times New Roman" w:hAnsi="Times New Roman"/>
          <w:sz w:val="24"/>
          <w:szCs w:val="24"/>
        </w:rPr>
      </w:pPr>
      <w:r w:rsidRPr="006D0B5D">
        <w:rPr>
          <w:rFonts w:ascii="Times New Roman" w:hAnsi="Times New Roman"/>
          <w:color w:val="000000"/>
          <w:sz w:val="28"/>
          <w:szCs w:val="28"/>
        </w:rPr>
        <w:t xml:space="preserve">Математическое образование в школе, деятельность учителей и организаторов образования должны исходить из того, что: </w:t>
      </w:r>
    </w:p>
    <w:p w:rsidR="005061D4" w:rsidRPr="006D0B5D" w:rsidRDefault="005061D4" w:rsidP="005061D4">
      <w:pPr>
        <w:numPr>
          <w:ilvl w:val="0"/>
          <w:numId w:val="1"/>
        </w:numPr>
        <w:autoSpaceDE w:val="0"/>
        <w:autoSpaceDN w:val="0"/>
        <w:adjustRightInd w:val="0"/>
        <w:spacing w:after="0" w:line="240" w:lineRule="auto"/>
        <w:ind w:firstLine="357"/>
        <w:jc w:val="both"/>
        <w:rPr>
          <w:rFonts w:ascii="Times New Roman" w:hAnsi="Times New Roman"/>
          <w:sz w:val="28"/>
          <w:szCs w:val="28"/>
        </w:rPr>
      </w:pPr>
      <w:r w:rsidRPr="006D0B5D">
        <w:rPr>
          <w:rFonts w:ascii="Times New Roman" w:hAnsi="Times New Roman"/>
          <w:sz w:val="28"/>
          <w:szCs w:val="28"/>
        </w:rPr>
        <w:t xml:space="preserve">каждый учащий должен получать математические знания в соответствии с его способностями и выбранными направлениями требований к результатам математического образования, достаточные для успешной жизни в обществе; </w:t>
      </w:r>
    </w:p>
    <w:p w:rsidR="005061D4" w:rsidRPr="006D0B5D" w:rsidRDefault="005061D4" w:rsidP="005061D4">
      <w:pPr>
        <w:numPr>
          <w:ilvl w:val="0"/>
          <w:numId w:val="1"/>
        </w:numPr>
        <w:autoSpaceDE w:val="0"/>
        <w:autoSpaceDN w:val="0"/>
        <w:adjustRightInd w:val="0"/>
        <w:spacing w:after="0" w:line="240" w:lineRule="auto"/>
        <w:ind w:firstLine="357"/>
        <w:jc w:val="both"/>
        <w:rPr>
          <w:rFonts w:ascii="Times New Roman" w:hAnsi="Times New Roman"/>
          <w:sz w:val="28"/>
          <w:szCs w:val="28"/>
        </w:rPr>
      </w:pPr>
      <w:r w:rsidRPr="006D0B5D">
        <w:rPr>
          <w:rFonts w:ascii="Times New Roman" w:hAnsi="Times New Roman"/>
          <w:sz w:val="28"/>
          <w:szCs w:val="28"/>
        </w:rPr>
        <w:t xml:space="preserve">каждому ученику должна быть предоставлена возможность получения математических компетенций, достаточными для применения математики в технике и социально-экономических областях; </w:t>
      </w:r>
    </w:p>
    <w:p w:rsidR="005061D4" w:rsidRPr="006D0B5D" w:rsidRDefault="005061D4" w:rsidP="005061D4">
      <w:pPr>
        <w:numPr>
          <w:ilvl w:val="0"/>
          <w:numId w:val="1"/>
        </w:numPr>
        <w:autoSpaceDE w:val="0"/>
        <w:autoSpaceDN w:val="0"/>
        <w:adjustRightInd w:val="0"/>
        <w:spacing w:after="0" w:line="240" w:lineRule="auto"/>
        <w:ind w:firstLine="357"/>
        <w:jc w:val="both"/>
        <w:rPr>
          <w:rFonts w:ascii="Times New Roman" w:hAnsi="Times New Roman"/>
          <w:sz w:val="28"/>
          <w:szCs w:val="28"/>
        </w:rPr>
      </w:pPr>
      <w:r w:rsidRPr="006D0B5D">
        <w:rPr>
          <w:rFonts w:ascii="Times New Roman" w:hAnsi="Times New Roman"/>
          <w:sz w:val="28"/>
          <w:szCs w:val="28"/>
        </w:rPr>
        <w:t xml:space="preserve">каждый ученик должен быть обеспечен развивающей интеллектуальной деятельностью на доступном уровне, используя в обучении присущую математике красоту и увлекательность. </w:t>
      </w:r>
    </w:p>
    <w:p w:rsidR="005061D4" w:rsidRPr="006D0B5D" w:rsidRDefault="005061D4" w:rsidP="005061D4">
      <w:pPr>
        <w:autoSpaceDE w:val="0"/>
        <w:autoSpaceDN w:val="0"/>
        <w:adjustRightInd w:val="0"/>
        <w:spacing w:after="0" w:line="240" w:lineRule="auto"/>
        <w:jc w:val="both"/>
        <w:rPr>
          <w:rFonts w:ascii="Times New Roman" w:hAnsi="Times New Roman"/>
          <w:sz w:val="28"/>
          <w:szCs w:val="28"/>
        </w:rPr>
      </w:pPr>
      <w:r w:rsidRPr="006D0B5D">
        <w:rPr>
          <w:rFonts w:ascii="Times New Roman" w:hAnsi="Times New Roman"/>
          <w:sz w:val="28"/>
          <w:szCs w:val="28"/>
        </w:rPr>
        <w:t xml:space="preserve">Два уровня итоговой аттестации по математике за курс средней (полной) общеобразовательной школы позволят выпускникам с разным уровнем математической подготовки более полно реализовать свои возможности. </w:t>
      </w:r>
      <w:r w:rsidRPr="006D0B5D">
        <w:rPr>
          <w:rFonts w:ascii="Times New Roman" w:hAnsi="Times New Roman"/>
          <w:b/>
          <w:i/>
          <w:sz w:val="28"/>
          <w:szCs w:val="28"/>
        </w:rPr>
        <w:t>Задачей учителя образовательной организации</w:t>
      </w:r>
      <w:r w:rsidRPr="006D0B5D">
        <w:rPr>
          <w:rFonts w:ascii="Times New Roman" w:hAnsi="Times New Roman"/>
          <w:sz w:val="28"/>
          <w:szCs w:val="28"/>
        </w:rPr>
        <w:t xml:space="preserve"> является, в том числе, помощь </w:t>
      </w:r>
      <w:r w:rsidRPr="006D0B5D">
        <w:rPr>
          <w:rFonts w:ascii="Times New Roman" w:hAnsi="Times New Roman"/>
          <w:b/>
          <w:i/>
          <w:sz w:val="28"/>
          <w:szCs w:val="28"/>
        </w:rPr>
        <w:t>формировании индивидуальной траектории подготовки</w:t>
      </w:r>
      <w:r w:rsidRPr="006D0B5D">
        <w:rPr>
          <w:rFonts w:ascii="Times New Roman" w:hAnsi="Times New Roman"/>
          <w:sz w:val="28"/>
          <w:szCs w:val="28"/>
        </w:rPr>
        <w:t xml:space="preserve">, с учетом текущего уровня знаний и планируемого выбора дальнейшей профессии. </w:t>
      </w:r>
    </w:p>
    <w:p w:rsidR="005061D4" w:rsidRPr="006D0B5D" w:rsidRDefault="005061D4" w:rsidP="005061D4">
      <w:pPr>
        <w:autoSpaceDE w:val="0"/>
        <w:autoSpaceDN w:val="0"/>
        <w:adjustRightInd w:val="0"/>
        <w:spacing w:after="0" w:line="240" w:lineRule="auto"/>
        <w:jc w:val="both"/>
        <w:rPr>
          <w:rFonts w:ascii="Times New Roman" w:hAnsi="Times New Roman"/>
          <w:bCs/>
          <w:color w:val="000000"/>
          <w:sz w:val="28"/>
          <w:szCs w:val="28"/>
        </w:rPr>
      </w:pPr>
      <w:r w:rsidRPr="006D0B5D">
        <w:rPr>
          <w:rFonts w:ascii="Times New Roman" w:hAnsi="Times New Roman"/>
          <w:bCs/>
          <w:color w:val="000000"/>
          <w:sz w:val="28"/>
          <w:szCs w:val="28"/>
        </w:rPr>
        <w:t xml:space="preserve">Обобщая </w:t>
      </w:r>
      <w:proofErr w:type="gramStart"/>
      <w:r w:rsidRPr="006D0B5D">
        <w:rPr>
          <w:rFonts w:ascii="Times New Roman" w:hAnsi="Times New Roman"/>
          <w:bCs/>
          <w:color w:val="000000"/>
          <w:sz w:val="28"/>
          <w:szCs w:val="28"/>
        </w:rPr>
        <w:t xml:space="preserve">содержание Концепции математического образования </w:t>
      </w:r>
      <w:r>
        <w:rPr>
          <w:rFonts w:ascii="Times New Roman" w:hAnsi="Times New Roman"/>
          <w:bCs/>
          <w:color w:val="000000"/>
          <w:sz w:val="28"/>
          <w:szCs w:val="28"/>
        </w:rPr>
        <w:t>и основываясь</w:t>
      </w:r>
      <w:proofErr w:type="gramEnd"/>
      <w:r>
        <w:rPr>
          <w:rFonts w:ascii="Times New Roman" w:hAnsi="Times New Roman"/>
          <w:bCs/>
          <w:color w:val="000000"/>
          <w:sz w:val="28"/>
          <w:szCs w:val="28"/>
        </w:rPr>
        <w:t xml:space="preserve"> на требованиях  профессионального стандарта </w:t>
      </w:r>
      <w:r w:rsidRPr="006D0B5D">
        <w:rPr>
          <w:rFonts w:ascii="Times New Roman" w:hAnsi="Times New Roman"/>
          <w:bCs/>
          <w:color w:val="000000"/>
          <w:sz w:val="28"/>
          <w:szCs w:val="28"/>
        </w:rPr>
        <w:t xml:space="preserve">можно выделить ключевые идеи: </w:t>
      </w:r>
    </w:p>
    <w:p w:rsidR="005061D4" w:rsidRPr="006D0B5D" w:rsidRDefault="005061D4" w:rsidP="005061D4">
      <w:pPr>
        <w:numPr>
          <w:ilvl w:val="0"/>
          <w:numId w:val="2"/>
        </w:numPr>
        <w:autoSpaceDE w:val="0"/>
        <w:autoSpaceDN w:val="0"/>
        <w:adjustRightInd w:val="0"/>
        <w:spacing w:after="0" w:line="240" w:lineRule="auto"/>
        <w:ind w:firstLine="709"/>
        <w:jc w:val="both"/>
        <w:rPr>
          <w:rFonts w:ascii="Times New Roman" w:hAnsi="Times New Roman"/>
          <w:bCs/>
          <w:color w:val="000000"/>
          <w:sz w:val="28"/>
          <w:szCs w:val="28"/>
        </w:rPr>
      </w:pPr>
      <w:bookmarkStart w:id="1" w:name="_Toc352434889"/>
      <w:bookmarkStart w:id="2" w:name="_Toc341655755"/>
      <w:r w:rsidRPr="006D0B5D">
        <w:rPr>
          <w:rFonts w:ascii="Times New Roman" w:hAnsi="Times New Roman"/>
          <w:bCs/>
          <w:color w:val="000000"/>
          <w:sz w:val="28"/>
          <w:szCs w:val="28"/>
        </w:rPr>
        <w:t xml:space="preserve">Математика есть элемент общей культуры, функциональной грамотности человека и повседневного применения (в массовом сознании математическая компетентность станет одним из основных показателей интеллектуального уровня человека, неотъемлемым элементом культуры и воспитанности, будет естественно интегрироваться в общегуманитарную культуру). </w:t>
      </w:r>
    </w:p>
    <w:p w:rsidR="005061D4" w:rsidRPr="006D0B5D" w:rsidRDefault="005061D4" w:rsidP="005061D4">
      <w:pPr>
        <w:numPr>
          <w:ilvl w:val="0"/>
          <w:numId w:val="2"/>
        </w:numPr>
        <w:autoSpaceDE w:val="0"/>
        <w:autoSpaceDN w:val="0"/>
        <w:adjustRightInd w:val="0"/>
        <w:spacing w:after="0" w:line="240" w:lineRule="auto"/>
        <w:ind w:firstLine="709"/>
        <w:jc w:val="both"/>
        <w:rPr>
          <w:rFonts w:ascii="Times New Roman" w:hAnsi="Times New Roman"/>
          <w:bCs/>
          <w:color w:val="000000"/>
          <w:sz w:val="28"/>
          <w:szCs w:val="28"/>
        </w:rPr>
      </w:pPr>
      <w:r w:rsidRPr="006D0B5D">
        <w:rPr>
          <w:rFonts w:ascii="Times New Roman" w:hAnsi="Times New Roman"/>
          <w:bCs/>
          <w:color w:val="000000"/>
          <w:sz w:val="28"/>
          <w:szCs w:val="28"/>
        </w:rPr>
        <w:t>Квалификация педагога-математика – один из основных факторов качества математического образования</w:t>
      </w:r>
      <w:bookmarkEnd w:id="1"/>
      <w:r w:rsidRPr="006D0B5D">
        <w:rPr>
          <w:rFonts w:ascii="Times New Roman" w:hAnsi="Times New Roman"/>
          <w:bCs/>
          <w:color w:val="000000"/>
          <w:sz w:val="28"/>
          <w:szCs w:val="28"/>
        </w:rPr>
        <w:t>.</w:t>
      </w:r>
    </w:p>
    <w:p w:rsidR="005061D4" w:rsidRPr="006D0B5D" w:rsidRDefault="005061D4" w:rsidP="005061D4">
      <w:pPr>
        <w:numPr>
          <w:ilvl w:val="0"/>
          <w:numId w:val="2"/>
        </w:numPr>
        <w:autoSpaceDE w:val="0"/>
        <w:autoSpaceDN w:val="0"/>
        <w:adjustRightInd w:val="0"/>
        <w:spacing w:after="0" w:line="240" w:lineRule="auto"/>
        <w:ind w:firstLine="709"/>
        <w:jc w:val="both"/>
        <w:rPr>
          <w:rFonts w:ascii="Times New Roman" w:hAnsi="Times New Roman"/>
          <w:bCs/>
          <w:color w:val="000000"/>
          <w:sz w:val="28"/>
          <w:szCs w:val="28"/>
        </w:rPr>
      </w:pPr>
      <w:r w:rsidRPr="006D0B5D">
        <w:rPr>
          <w:rFonts w:ascii="Times New Roman" w:hAnsi="Times New Roman"/>
          <w:bCs/>
          <w:color w:val="000000"/>
          <w:sz w:val="28"/>
          <w:szCs w:val="28"/>
        </w:rPr>
        <w:t>Необходимо целенаправленно обеспечивать математическое просвещение</w:t>
      </w:r>
      <w:bookmarkEnd w:id="2"/>
      <w:r w:rsidRPr="006D0B5D">
        <w:rPr>
          <w:rFonts w:ascii="Times New Roman" w:hAnsi="Times New Roman"/>
          <w:bCs/>
          <w:color w:val="000000"/>
          <w:sz w:val="28"/>
          <w:szCs w:val="28"/>
        </w:rPr>
        <w:t>, популяризацию математики как сферы знания, отрасли науки, направления профессионального образования, историко-культурного пласта развития человеческого сообщества.</w:t>
      </w:r>
    </w:p>
    <w:p w:rsidR="005061D4" w:rsidRPr="006D0B5D" w:rsidRDefault="005061D4" w:rsidP="005061D4">
      <w:pPr>
        <w:numPr>
          <w:ilvl w:val="0"/>
          <w:numId w:val="2"/>
        </w:numPr>
        <w:autoSpaceDE w:val="0"/>
        <w:autoSpaceDN w:val="0"/>
        <w:adjustRightInd w:val="0"/>
        <w:spacing w:after="0" w:line="240" w:lineRule="auto"/>
        <w:ind w:firstLine="709"/>
        <w:jc w:val="both"/>
        <w:rPr>
          <w:rFonts w:ascii="Times New Roman" w:hAnsi="Times New Roman"/>
          <w:bCs/>
          <w:color w:val="000000"/>
          <w:sz w:val="28"/>
          <w:szCs w:val="28"/>
        </w:rPr>
      </w:pPr>
      <w:r w:rsidRPr="006D0B5D">
        <w:rPr>
          <w:rFonts w:ascii="Times New Roman" w:hAnsi="Times New Roman"/>
          <w:bCs/>
          <w:color w:val="000000"/>
          <w:sz w:val="28"/>
          <w:szCs w:val="28"/>
        </w:rPr>
        <w:t xml:space="preserve">Для каждого ребенка необходимо индивидуально проектировать «траекторию ближайшего развития». </w:t>
      </w:r>
    </w:p>
    <w:p w:rsidR="007E451F" w:rsidRPr="005061D4" w:rsidRDefault="007E451F" w:rsidP="005061D4">
      <w:pPr>
        <w:ind w:firstLine="708"/>
      </w:pPr>
    </w:p>
    <w:sectPr w:rsidR="007E451F" w:rsidRPr="005061D4" w:rsidSect="009A7A1B">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220" w:rsidRDefault="00017220" w:rsidP="007574E5">
      <w:pPr>
        <w:spacing w:after="0" w:line="240" w:lineRule="auto"/>
      </w:pPr>
      <w:r>
        <w:separator/>
      </w:r>
    </w:p>
  </w:endnote>
  <w:endnote w:type="continuationSeparator" w:id="0">
    <w:p w:rsidR="00017220" w:rsidRDefault="00017220" w:rsidP="0075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220" w:rsidRDefault="00017220" w:rsidP="007574E5">
      <w:pPr>
        <w:spacing w:after="0" w:line="240" w:lineRule="auto"/>
      </w:pPr>
      <w:r>
        <w:separator/>
      </w:r>
    </w:p>
  </w:footnote>
  <w:footnote w:type="continuationSeparator" w:id="0">
    <w:p w:rsidR="00017220" w:rsidRDefault="00017220" w:rsidP="007574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55D66"/>
    <w:multiLevelType w:val="hybridMultilevel"/>
    <w:tmpl w:val="A0F09A3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9936C8D"/>
    <w:multiLevelType w:val="hybridMultilevel"/>
    <w:tmpl w:val="60004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6983"/>
    <w:rsid w:val="00017220"/>
    <w:rsid w:val="00076EBE"/>
    <w:rsid w:val="000C5CDE"/>
    <w:rsid w:val="001F1BBC"/>
    <w:rsid w:val="001F714E"/>
    <w:rsid w:val="0022449D"/>
    <w:rsid w:val="0027262B"/>
    <w:rsid w:val="005061D4"/>
    <w:rsid w:val="007564F7"/>
    <w:rsid w:val="007574E5"/>
    <w:rsid w:val="007E451F"/>
    <w:rsid w:val="00856CE6"/>
    <w:rsid w:val="009A7A1B"/>
    <w:rsid w:val="009C0FFC"/>
    <w:rsid w:val="00A15860"/>
    <w:rsid w:val="00A65E75"/>
    <w:rsid w:val="00AE13ED"/>
    <w:rsid w:val="00BA73A0"/>
    <w:rsid w:val="00BF6B16"/>
    <w:rsid w:val="00CB176C"/>
    <w:rsid w:val="00DA6D78"/>
    <w:rsid w:val="00DE6983"/>
    <w:rsid w:val="00ED2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983"/>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26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262B"/>
    <w:rPr>
      <w:rFonts w:ascii="Tahoma" w:eastAsia="Calibri" w:hAnsi="Tahoma" w:cs="Tahoma"/>
      <w:sz w:val="16"/>
      <w:szCs w:val="16"/>
    </w:rPr>
  </w:style>
  <w:style w:type="paragraph" w:styleId="a5">
    <w:name w:val="header"/>
    <w:basedOn w:val="a"/>
    <w:link w:val="a6"/>
    <w:uiPriority w:val="99"/>
    <w:semiHidden/>
    <w:unhideWhenUsed/>
    <w:rsid w:val="007574E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574E5"/>
    <w:rPr>
      <w:rFonts w:ascii="Calibri" w:eastAsia="Calibri" w:hAnsi="Calibri" w:cs="Calibri"/>
    </w:rPr>
  </w:style>
  <w:style w:type="paragraph" w:styleId="a7">
    <w:name w:val="footer"/>
    <w:basedOn w:val="a"/>
    <w:link w:val="a8"/>
    <w:uiPriority w:val="99"/>
    <w:semiHidden/>
    <w:unhideWhenUsed/>
    <w:rsid w:val="007574E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574E5"/>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31070">
      <w:bodyDiv w:val="1"/>
      <w:marLeft w:val="0"/>
      <w:marRight w:val="0"/>
      <w:marTop w:val="0"/>
      <w:marBottom w:val="0"/>
      <w:divBdr>
        <w:top w:val="none" w:sz="0" w:space="0" w:color="auto"/>
        <w:left w:val="none" w:sz="0" w:space="0" w:color="auto"/>
        <w:bottom w:val="none" w:sz="0" w:space="0" w:color="auto"/>
        <w:right w:val="none" w:sz="0" w:space="0" w:color="auto"/>
      </w:divBdr>
    </w:div>
    <w:div w:id="723136646">
      <w:bodyDiv w:val="1"/>
      <w:marLeft w:val="0"/>
      <w:marRight w:val="0"/>
      <w:marTop w:val="0"/>
      <w:marBottom w:val="0"/>
      <w:divBdr>
        <w:top w:val="none" w:sz="0" w:space="0" w:color="auto"/>
        <w:left w:val="none" w:sz="0" w:space="0" w:color="auto"/>
        <w:bottom w:val="none" w:sz="0" w:space="0" w:color="auto"/>
        <w:right w:val="none" w:sz="0" w:space="0" w:color="auto"/>
      </w:divBdr>
    </w:div>
    <w:div w:id="1811896246">
      <w:bodyDiv w:val="1"/>
      <w:marLeft w:val="0"/>
      <w:marRight w:val="0"/>
      <w:marTop w:val="0"/>
      <w:marBottom w:val="0"/>
      <w:divBdr>
        <w:top w:val="none" w:sz="0" w:space="0" w:color="auto"/>
        <w:left w:val="none" w:sz="0" w:space="0" w:color="auto"/>
        <w:bottom w:val="none" w:sz="0" w:space="0" w:color="auto"/>
        <w:right w:val="none" w:sz="0" w:space="0" w:color="auto"/>
      </w:divBdr>
    </w:div>
    <w:div w:id="212896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Лист1!$B$7</c:f>
              <c:strCache>
                <c:ptCount val="1"/>
                <c:pt idx="0">
                  <c:v>2015</c:v>
                </c:pt>
              </c:strCache>
            </c:strRef>
          </c:tx>
          <c:invertIfNegative val="0"/>
          <c:dLbls>
            <c:dLbl>
              <c:idx val="0"/>
              <c:layout>
                <c:manualLayout>
                  <c:x val="1.7123232262219003E-3"/>
                  <c:y val="-5.9694222009520438E-2"/>
                </c:manualLayout>
              </c:layout>
              <c:showLegendKey val="0"/>
              <c:showVal val="1"/>
              <c:showCatName val="0"/>
              <c:showSerName val="0"/>
              <c:showPercent val="0"/>
              <c:showBubbleSize val="0"/>
            </c:dLbl>
            <c:dLbl>
              <c:idx val="1"/>
              <c:layout>
                <c:manualLayout>
                  <c:x val="-1.8835555488440889E-2"/>
                  <c:y val="-2.9847111004760219E-2"/>
                </c:manualLayout>
              </c:layout>
              <c:showLegendKey val="0"/>
              <c:showVal val="1"/>
              <c:showCatName val="0"/>
              <c:showSerName val="0"/>
              <c:showPercent val="0"/>
              <c:showBubbleSize val="0"/>
            </c:dLbl>
            <c:txPr>
              <a:bodyPr/>
              <a:lstStyle/>
              <a:p>
                <a:pPr>
                  <a:defRPr sz="1400" b="1"/>
                </a:pPr>
                <a:endParaRPr lang="ru-RU"/>
              </a:p>
            </c:txPr>
            <c:showLegendKey val="0"/>
            <c:showVal val="1"/>
            <c:showCatName val="0"/>
            <c:showSerName val="0"/>
            <c:showPercent val="0"/>
            <c:showBubbleSize val="0"/>
            <c:showLeaderLines val="0"/>
          </c:dLbls>
          <c:cat>
            <c:strRef>
              <c:f>Лист1!$C$6:$D$6</c:f>
              <c:strCache>
                <c:ptCount val="2"/>
                <c:pt idx="0">
                  <c:v>успеваемость</c:v>
                </c:pt>
                <c:pt idx="1">
                  <c:v>качество</c:v>
                </c:pt>
              </c:strCache>
            </c:strRef>
          </c:cat>
          <c:val>
            <c:numRef>
              <c:f>Лист1!$C$7:$D$7</c:f>
              <c:numCache>
                <c:formatCode>General</c:formatCode>
                <c:ptCount val="2"/>
                <c:pt idx="0">
                  <c:v>93</c:v>
                </c:pt>
                <c:pt idx="1">
                  <c:v>64.5</c:v>
                </c:pt>
              </c:numCache>
            </c:numRef>
          </c:val>
        </c:ser>
        <c:ser>
          <c:idx val="1"/>
          <c:order val="1"/>
          <c:tx>
            <c:strRef>
              <c:f>Лист1!$B$8</c:f>
              <c:strCache>
                <c:ptCount val="1"/>
                <c:pt idx="0">
                  <c:v>2016</c:v>
                </c:pt>
              </c:strCache>
            </c:strRef>
          </c:tx>
          <c:invertIfNegative val="0"/>
          <c:dLbls>
            <c:dLbl>
              <c:idx val="0"/>
              <c:layout>
                <c:manualLayout>
                  <c:x val="1.7123232262219003E-3"/>
                  <c:y val="-3.5273858460171198E-2"/>
                </c:manualLayout>
              </c:layout>
              <c:showLegendKey val="0"/>
              <c:showVal val="1"/>
              <c:showCatName val="0"/>
              <c:showSerName val="0"/>
              <c:showPercent val="0"/>
              <c:showBubbleSize val="0"/>
            </c:dLbl>
            <c:dLbl>
              <c:idx val="1"/>
              <c:layout>
                <c:manualLayout>
                  <c:x val="8.5616161311095149E-3"/>
                  <c:y val="-4.612735337099285E-2"/>
                </c:manualLayout>
              </c:layout>
              <c:showLegendKey val="0"/>
              <c:showVal val="1"/>
              <c:showCatName val="0"/>
              <c:showSerName val="0"/>
              <c:showPercent val="0"/>
              <c:showBubbleSize val="0"/>
            </c:dLbl>
            <c:txPr>
              <a:bodyPr/>
              <a:lstStyle/>
              <a:p>
                <a:pPr>
                  <a:defRPr sz="1400" b="1"/>
                </a:pPr>
                <a:endParaRPr lang="ru-RU"/>
              </a:p>
            </c:txPr>
            <c:showLegendKey val="0"/>
            <c:showVal val="1"/>
            <c:showCatName val="0"/>
            <c:showSerName val="0"/>
            <c:showPercent val="0"/>
            <c:showBubbleSize val="0"/>
            <c:showLeaderLines val="0"/>
          </c:dLbls>
          <c:cat>
            <c:strRef>
              <c:f>Лист1!$C$6:$D$6</c:f>
              <c:strCache>
                <c:ptCount val="2"/>
                <c:pt idx="0">
                  <c:v>успеваемость</c:v>
                </c:pt>
                <c:pt idx="1">
                  <c:v>качество</c:v>
                </c:pt>
              </c:strCache>
            </c:strRef>
          </c:cat>
          <c:val>
            <c:numRef>
              <c:f>Лист1!$C$8:$D$8</c:f>
              <c:numCache>
                <c:formatCode>General</c:formatCode>
                <c:ptCount val="2"/>
                <c:pt idx="0">
                  <c:v>96</c:v>
                </c:pt>
                <c:pt idx="1">
                  <c:v>76.5</c:v>
                </c:pt>
              </c:numCache>
            </c:numRef>
          </c:val>
        </c:ser>
        <c:dLbls>
          <c:showLegendKey val="0"/>
          <c:showVal val="0"/>
          <c:showCatName val="0"/>
          <c:showSerName val="0"/>
          <c:showPercent val="0"/>
          <c:showBubbleSize val="0"/>
        </c:dLbls>
        <c:gapWidth val="150"/>
        <c:shape val="cylinder"/>
        <c:axId val="100874496"/>
        <c:axId val="100880384"/>
        <c:axId val="0"/>
      </c:bar3DChart>
      <c:catAx>
        <c:axId val="100874496"/>
        <c:scaling>
          <c:orientation val="minMax"/>
        </c:scaling>
        <c:delete val="0"/>
        <c:axPos val="b"/>
        <c:majorTickMark val="out"/>
        <c:minorTickMark val="none"/>
        <c:tickLblPos val="nextTo"/>
        <c:txPr>
          <a:bodyPr/>
          <a:lstStyle/>
          <a:p>
            <a:pPr>
              <a:defRPr sz="1200" b="1"/>
            </a:pPr>
            <a:endParaRPr lang="ru-RU"/>
          </a:p>
        </c:txPr>
        <c:crossAx val="100880384"/>
        <c:crosses val="autoZero"/>
        <c:auto val="1"/>
        <c:lblAlgn val="ctr"/>
        <c:lblOffset val="100"/>
        <c:noMultiLvlLbl val="0"/>
      </c:catAx>
      <c:valAx>
        <c:axId val="100880384"/>
        <c:scaling>
          <c:orientation val="minMax"/>
        </c:scaling>
        <c:delete val="1"/>
        <c:axPos val="l"/>
        <c:majorGridlines/>
        <c:numFmt formatCode="General" sourceLinked="1"/>
        <c:majorTickMark val="out"/>
        <c:minorTickMark val="none"/>
        <c:tickLblPos val="none"/>
        <c:crossAx val="100874496"/>
        <c:crosses val="autoZero"/>
        <c:crossBetween val="between"/>
      </c:valAx>
    </c:plotArea>
    <c:legend>
      <c:legendPos val="r"/>
      <c:layout>
        <c:manualLayout>
          <c:xMode val="edge"/>
          <c:yMode val="edge"/>
          <c:x val="0.76367900163327129"/>
          <c:y val="0.42737114972196982"/>
          <c:w val="0.15617938344298019"/>
          <c:h val="0.14608248656132294"/>
        </c:manualLayout>
      </c:layout>
      <c:overlay val="0"/>
      <c:txPr>
        <a:bodyPr/>
        <a:lstStyle/>
        <a:p>
          <a:pPr>
            <a:defRPr sz="1000"/>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Лист1!$L$12</c:f>
              <c:strCache>
                <c:ptCount val="1"/>
                <c:pt idx="0">
                  <c:v>2015</c:v>
                </c:pt>
              </c:strCache>
            </c:strRef>
          </c:tx>
          <c:invertIfNegative val="0"/>
          <c:dLbls>
            <c:txPr>
              <a:bodyPr/>
              <a:lstStyle/>
              <a:p>
                <a:pPr>
                  <a:defRPr sz="1400"/>
                </a:pPr>
                <a:endParaRPr lang="ru-RU"/>
              </a:p>
            </c:txPr>
            <c:showLegendKey val="0"/>
            <c:showVal val="1"/>
            <c:showCatName val="0"/>
            <c:showSerName val="0"/>
            <c:showPercent val="0"/>
            <c:showBubbleSize val="0"/>
            <c:showLeaderLines val="0"/>
          </c:dLbls>
          <c:cat>
            <c:numRef>
              <c:f>Лист1!$M$11:$P$11</c:f>
              <c:numCache>
                <c:formatCode>General</c:formatCode>
                <c:ptCount val="4"/>
                <c:pt idx="0">
                  <c:v>2</c:v>
                </c:pt>
                <c:pt idx="1">
                  <c:v>3</c:v>
                </c:pt>
                <c:pt idx="2">
                  <c:v>4</c:v>
                </c:pt>
                <c:pt idx="3">
                  <c:v>5</c:v>
                </c:pt>
              </c:numCache>
            </c:numRef>
          </c:cat>
          <c:val>
            <c:numRef>
              <c:f>Лист1!$M$12:$P$12</c:f>
              <c:numCache>
                <c:formatCode>General</c:formatCode>
                <c:ptCount val="4"/>
                <c:pt idx="0">
                  <c:v>6</c:v>
                </c:pt>
                <c:pt idx="1">
                  <c:v>30</c:v>
                </c:pt>
                <c:pt idx="2">
                  <c:v>43</c:v>
                </c:pt>
                <c:pt idx="3">
                  <c:v>21</c:v>
                </c:pt>
              </c:numCache>
            </c:numRef>
          </c:val>
        </c:ser>
        <c:ser>
          <c:idx val="1"/>
          <c:order val="1"/>
          <c:tx>
            <c:strRef>
              <c:f>Лист1!$L$13</c:f>
              <c:strCache>
                <c:ptCount val="1"/>
                <c:pt idx="0">
                  <c:v>2016</c:v>
                </c:pt>
              </c:strCache>
            </c:strRef>
          </c:tx>
          <c:invertIfNegative val="0"/>
          <c:dLbls>
            <c:txPr>
              <a:bodyPr/>
              <a:lstStyle/>
              <a:p>
                <a:pPr>
                  <a:defRPr sz="1400"/>
                </a:pPr>
                <a:endParaRPr lang="ru-RU"/>
              </a:p>
            </c:txPr>
            <c:showLegendKey val="0"/>
            <c:showVal val="1"/>
            <c:showCatName val="0"/>
            <c:showSerName val="0"/>
            <c:showPercent val="0"/>
            <c:showBubbleSize val="0"/>
            <c:showLeaderLines val="0"/>
          </c:dLbls>
          <c:cat>
            <c:numRef>
              <c:f>Лист1!$M$11:$P$11</c:f>
              <c:numCache>
                <c:formatCode>General</c:formatCode>
                <c:ptCount val="4"/>
                <c:pt idx="0">
                  <c:v>2</c:v>
                </c:pt>
                <c:pt idx="1">
                  <c:v>3</c:v>
                </c:pt>
                <c:pt idx="2">
                  <c:v>4</c:v>
                </c:pt>
                <c:pt idx="3">
                  <c:v>5</c:v>
                </c:pt>
              </c:numCache>
            </c:numRef>
          </c:cat>
          <c:val>
            <c:numRef>
              <c:f>Лист1!$M$13:$P$13</c:f>
              <c:numCache>
                <c:formatCode>General</c:formatCode>
                <c:ptCount val="4"/>
                <c:pt idx="0">
                  <c:v>4</c:v>
                </c:pt>
                <c:pt idx="1">
                  <c:v>20</c:v>
                </c:pt>
                <c:pt idx="2">
                  <c:v>34</c:v>
                </c:pt>
                <c:pt idx="3">
                  <c:v>42</c:v>
                </c:pt>
              </c:numCache>
            </c:numRef>
          </c:val>
        </c:ser>
        <c:dLbls>
          <c:showLegendKey val="0"/>
          <c:showVal val="0"/>
          <c:showCatName val="0"/>
          <c:showSerName val="0"/>
          <c:showPercent val="0"/>
          <c:showBubbleSize val="0"/>
        </c:dLbls>
        <c:gapWidth val="150"/>
        <c:shape val="cylinder"/>
        <c:axId val="100902400"/>
        <c:axId val="100903936"/>
        <c:axId val="0"/>
      </c:bar3DChart>
      <c:catAx>
        <c:axId val="100902400"/>
        <c:scaling>
          <c:orientation val="minMax"/>
        </c:scaling>
        <c:delete val="0"/>
        <c:axPos val="b"/>
        <c:numFmt formatCode="General" sourceLinked="1"/>
        <c:majorTickMark val="out"/>
        <c:minorTickMark val="none"/>
        <c:tickLblPos val="nextTo"/>
        <c:crossAx val="100903936"/>
        <c:crosses val="autoZero"/>
        <c:auto val="1"/>
        <c:lblAlgn val="ctr"/>
        <c:lblOffset val="100"/>
        <c:noMultiLvlLbl val="0"/>
      </c:catAx>
      <c:valAx>
        <c:axId val="100903936"/>
        <c:scaling>
          <c:orientation val="minMax"/>
        </c:scaling>
        <c:delete val="1"/>
        <c:axPos val="l"/>
        <c:majorGridlines/>
        <c:numFmt formatCode="General" sourceLinked="1"/>
        <c:majorTickMark val="out"/>
        <c:minorTickMark val="none"/>
        <c:tickLblPos val="none"/>
        <c:crossAx val="100902400"/>
        <c:crosses val="autoZero"/>
        <c:crossBetween val="between"/>
      </c:valAx>
    </c:plotArea>
    <c:legend>
      <c:legendPos val="r"/>
      <c:layout>
        <c:manualLayout>
          <c:xMode val="edge"/>
          <c:yMode val="edge"/>
          <c:x val="0.83193625576044439"/>
          <c:y val="0.30574273255544382"/>
          <c:w val="9.7815970774567843E-2"/>
          <c:h val="0.19573644489206204"/>
        </c:manualLayout>
      </c:layout>
      <c:overlay val="0"/>
      <c:txPr>
        <a:bodyPr/>
        <a:lstStyle/>
        <a:p>
          <a:pPr>
            <a:defRPr sz="1000"/>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Лист1!$A$3</c:f>
              <c:strCache>
                <c:ptCount val="1"/>
                <c:pt idx="0">
                  <c:v>2016</c:v>
                </c:pt>
              </c:strCache>
            </c:strRef>
          </c:tx>
          <c:invertIfNegative val="0"/>
          <c:dLbls>
            <c:dLbl>
              <c:idx val="10"/>
              <c:layout>
                <c:manualLayout>
                  <c:x val="-1.4015655597662081E-2"/>
                  <c:y val="9.3772127822485674E-3"/>
                </c:manualLayout>
              </c:layout>
              <c:showLegendKey val="0"/>
              <c:showVal val="1"/>
              <c:showCatName val="0"/>
              <c:showSerName val="0"/>
              <c:showPercent val="0"/>
              <c:showBubbleSize val="0"/>
            </c:dLbl>
            <c:txPr>
              <a:bodyPr/>
              <a:lstStyle/>
              <a:p>
                <a:pPr>
                  <a:defRPr sz="1000"/>
                </a:pPr>
                <a:endParaRPr lang="ru-RU"/>
              </a:p>
            </c:txPr>
            <c:showLegendKey val="0"/>
            <c:showVal val="1"/>
            <c:showCatName val="0"/>
            <c:showSerName val="0"/>
            <c:showPercent val="0"/>
            <c:showBubbleSize val="0"/>
            <c:showLeaderLines val="0"/>
          </c:dLbls>
          <c:cat>
            <c:numRef>
              <c:f>Лист1!$B$2:$U$2</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Лист1!$B$3:$U$3</c:f>
              <c:numCache>
                <c:formatCode>General</c:formatCode>
                <c:ptCount val="20"/>
                <c:pt idx="0">
                  <c:v>95</c:v>
                </c:pt>
                <c:pt idx="1">
                  <c:v>79</c:v>
                </c:pt>
                <c:pt idx="2">
                  <c:v>68</c:v>
                </c:pt>
                <c:pt idx="3">
                  <c:v>81</c:v>
                </c:pt>
                <c:pt idx="4">
                  <c:v>51</c:v>
                </c:pt>
                <c:pt idx="5">
                  <c:v>92</c:v>
                </c:pt>
                <c:pt idx="6">
                  <c:v>75</c:v>
                </c:pt>
                <c:pt idx="7">
                  <c:v>70</c:v>
                </c:pt>
                <c:pt idx="8">
                  <c:v>87</c:v>
                </c:pt>
                <c:pt idx="9">
                  <c:v>67</c:v>
                </c:pt>
                <c:pt idx="10">
                  <c:v>96</c:v>
                </c:pt>
                <c:pt idx="11">
                  <c:v>84</c:v>
                </c:pt>
                <c:pt idx="12">
                  <c:v>48</c:v>
                </c:pt>
                <c:pt idx="13">
                  <c:v>96</c:v>
                </c:pt>
                <c:pt idx="14">
                  <c:v>81</c:v>
                </c:pt>
                <c:pt idx="15">
                  <c:v>67</c:v>
                </c:pt>
                <c:pt idx="16">
                  <c:v>55</c:v>
                </c:pt>
                <c:pt idx="17">
                  <c:v>95</c:v>
                </c:pt>
                <c:pt idx="18">
                  <c:v>48</c:v>
                </c:pt>
                <c:pt idx="19">
                  <c:v>53</c:v>
                </c:pt>
              </c:numCache>
            </c:numRef>
          </c:val>
        </c:ser>
        <c:ser>
          <c:idx val="1"/>
          <c:order val="1"/>
          <c:tx>
            <c:strRef>
              <c:f>Лист1!$A$4</c:f>
              <c:strCache>
                <c:ptCount val="1"/>
                <c:pt idx="0">
                  <c:v>2015</c:v>
                </c:pt>
              </c:strCache>
            </c:strRef>
          </c:tx>
          <c:invertIfNegative val="0"/>
          <c:dLbls>
            <c:dLbl>
              <c:idx val="1"/>
              <c:layout>
                <c:manualLayout>
                  <c:x val="1.0011182569758649E-2"/>
                  <c:y val="2.1489197714274132E-17"/>
                </c:manualLayout>
              </c:layout>
              <c:showLegendKey val="0"/>
              <c:showVal val="1"/>
              <c:showCatName val="0"/>
              <c:showSerName val="0"/>
              <c:showPercent val="0"/>
              <c:showBubbleSize val="0"/>
            </c:dLbl>
            <c:dLbl>
              <c:idx val="5"/>
              <c:layout>
                <c:manualLayout>
                  <c:x val="6.8799457058521174E-3"/>
                  <c:y val="0"/>
                </c:manualLayout>
              </c:layout>
              <c:showLegendKey val="0"/>
              <c:showVal val="1"/>
              <c:showCatName val="0"/>
              <c:showSerName val="0"/>
              <c:showPercent val="0"/>
              <c:showBubbleSize val="0"/>
            </c:dLbl>
            <c:dLbl>
              <c:idx val="8"/>
              <c:layout>
                <c:manualLayout>
                  <c:x val="1.10079131293634E-2"/>
                  <c:y val="9.2592592592593038E-3"/>
                </c:manualLayout>
              </c:layout>
              <c:showLegendKey val="0"/>
              <c:showVal val="1"/>
              <c:showCatName val="0"/>
              <c:showSerName val="0"/>
              <c:showPercent val="0"/>
              <c:showBubbleSize val="0"/>
            </c:dLbl>
            <c:dLbl>
              <c:idx val="10"/>
              <c:layout>
                <c:manualLayout>
                  <c:x val="8.2559348470225471E-3"/>
                  <c:y val="4.6296296296296433E-3"/>
                </c:manualLayout>
              </c:layout>
              <c:showLegendKey val="0"/>
              <c:showVal val="1"/>
              <c:showCatName val="0"/>
              <c:showSerName val="0"/>
              <c:showPercent val="0"/>
              <c:showBubbleSize val="0"/>
            </c:dLbl>
            <c:txPr>
              <a:bodyPr/>
              <a:lstStyle/>
              <a:p>
                <a:pPr>
                  <a:defRPr sz="1000"/>
                </a:pPr>
                <a:endParaRPr lang="ru-RU"/>
              </a:p>
            </c:txPr>
            <c:showLegendKey val="0"/>
            <c:showVal val="1"/>
            <c:showCatName val="0"/>
            <c:showSerName val="0"/>
            <c:showPercent val="0"/>
            <c:showBubbleSize val="0"/>
            <c:showLeaderLines val="0"/>
          </c:dLbls>
          <c:cat>
            <c:numRef>
              <c:f>Лист1!$B$2:$U$2</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Лист1!$B$4:$U$4</c:f>
              <c:numCache>
                <c:formatCode>General</c:formatCode>
                <c:ptCount val="20"/>
                <c:pt idx="0">
                  <c:v>71</c:v>
                </c:pt>
                <c:pt idx="1">
                  <c:v>75</c:v>
                </c:pt>
                <c:pt idx="2">
                  <c:v>87</c:v>
                </c:pt>
                <c:pt idx="3">
                  <c:v>66</c:v>
                </c:pt>
                <c:pt idx="4">
                  <c:v>61</c:v>
                </c:pt>
                <c:pt idx="5">
                  <c:v>86</c:v>
                </c:pt>
                <c:pt idx="6">
                  <c:v>59</c:v>
                </c:pt>
                <c:pt idx="7">
                  <c:v>72</c:v>
                </c:pt>
                <c:pt idx="8">
                  <c:v>89</c:v>
                </c:pt>
                <c:pt idx="9">
                  <c:v>35</c:v>
                </c:pt>
                <c:pt idx="10">
                  <c:v>95</c:v>
                </c:pt>
                <c:pt idx="11">
                  <c:v>94</c:v>
                </c:pt>
                <c:pt idx="12">
                  <c:v>59</c:v>
                </c:pt>
                <c:pt idx="13">
                  <c:v>78</c:v>
                </c:pt>
                <c:pt idx="14">
                  <c:v>47</c:v>
                </c:pt>
                <c:pt idx="15">
                  <c:v>25</c:v>
                </c:pt>
                <c:pt idx="16">
                  <c:v>30</c:v>
                </c:pt>
                <c:pt idx="17">
                  <c:v>70</c:v>
                </c:pt>
                <c:pt idx="18">
                  <c:v>60</c:v>
                </c:pt>
                <c:pt idx="19">
                  <c:v>45</c:v>
                </c:pt>
              </c:numCache>
            </c:numRef>
          </c:val>
        </c:ser>
        <c:dLbls>
          <c:showLegendKey val="0"/>
          <c:showVal val="0"/>
          <c:showCatName val="0"/>
          <c:showSerName val="0"/>
          <c:showPercent val="0"/>
          <c:showBubbleSize val="0"/>
        </c:dLbls>
        <c:gapWidth val="150"/>
        <c:shape val="box"/>
        <c:axId val="102195584"/>
        <c:axId val="102197120"/>
        <c:axId val="0"/>
      </c:bar3DChart>
      <c:catAx>
        <c:axId val="102195584"/>
        <c:scaling>
          <c:orientation val="minMax"/>
        </c:scaling>
        <c:delete val="0"/>
        <c:axPos val="b"/>
        <c:numFmt formatCode="General" sourceLinked="1"/>
        <c:majorTickMark val="out"/>
        <c:minorTickMark val="none"/>
        <c:tickLblPos val="nextTo"/>
        <c:crossAx val="102197120"/>
        <c:crosses val="autoZero"/>
        <c:auto val="1"/>
        <c:lblAlgn val="ctr"/>
        <c:lblOffset val="100"/>
        <c:noMultiLvlLbl val="0"/>
      </c:catAx>
      <c:valAx>
        <c:axId val="102197120"/>
        <c:scaling>
          <c:orientation val="minMax"/>
        </c:scaling>
        <c:delete val="0"/>
        <c:axPos val="l"/>
        <c:majorGridlines/>
        <c:numFmt formatCode="General" sourceLinked="1"/>
        <c:majorTickMark val="out"/>
        <c:minorTickMark val="none"/>
        <c:tickLblPos val="nextTo"/>
        <c:crossAx val="10219558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8"/>
            <c:invertIfNegative val="0"/>
            <c:bubble3D val="0"/>
            <c:spPr>
              <a:solidFill>
                <a:schemeClr val="accent5">
                  <a:lumMod val="75000"/>
                </a:schemeClr>
              </a:solidFill>
            </c:spPr>
          </c:dPt>
          <c:dPt>
            <c:idx val="9"/>
            <c:invertIfNegative val="0"/>
            <c:bubble3D val="0"/>
            <c:spPr>
              <a:solidFill>
                <a:srgbClr val="4BACC6">
                  <a:lumMod val="75000"/>
                </a:srgbClr>
              </a:solidFill>
            </c:spPr>
          </c:dPt>
          <c:dPt>
            <c:idx val="10"/>
            <c:invertIfNegative val="0"/>
            <c:bubble3D val="0"/>
            <c:spPr>
              <a:solidFill>
                <a:srgbClr val="4BACC6">
                  <a:lumMod val="75000"/>
                </a:srgbClr>
              </a:solidFill>
            </c:spPr>
          </c:dPt>
          <c:dPt>
            <c:idx val="11"/>
            <c:invertIfNegative val="0"/>
            <c:bubble3D val="0"/>
            <c:spPr>
              <a:solidFill>
                <a:srgbClr val="4BACC6">
                  <a:lumMod val="75000"/>
                </a:srgbClr>
              </a:solidFill>
            </c:spPr>
          </c:dPt>
          <c:dLbls>
            <c:dLbl>
              <c:idx val="6"/>
              <c:tx>
                <c:rich>
                  <a:bodyPr/>
                  <a:lstStyle/>
                  <a:p>
                    <a:r>
                      <a:rPr lang="en-US"/>
                      <a:t>5</a:t>
                    </a:r>
                    <a:r>
                      <a:rPr lang="ru-RU"/>
                      <a:t>0</a:t>
                    </a:r>
                    <a:endParaRPr lang="en-US"/>
                  </a:p>
                </c:rich>
              </c:tx>
              <c:showLegendKey val="0"/>
              <c:showVal val="1"/>
              <c:showCatName val="0"/>
              <c:showSerName val="0"/>
              <c:showPercent val="0"/>
              <c:showBubbleSize val="0"/>
            </c:dLbl>
            <c:txPr>
              <a:bodyPr/>
              <a:lstStyle/>
              <a:p>
                <a:pPr>
                  <a:defRPr sz="1400"/>
                </a:pPr>
                <a:endParaRPr lang="ru-RU"/>
              </a:p>
            </c:txPr>
            <c:showLegendKey val="0"/>
            <c:showVal val="1"/>
            <c:showCatName val="0"/>
            <c:showSerName val="0"/>
            <c:showPercent val="0"/>
            <c:showBubbleSize val="0"/>
            <c:showLeaderLines val="0"/>
          </c:dLbls>
          <c:val>
            <c:numRef>
              <c:f>Лист1!$C$57:$N$57</c:f>
              <c:numCache>
                <c:formatCode>General</c:formatCode>
                <c:ptCount val="12"/>
                <c:pt idx="0">
                  <c:v>88</c:v>
                </c:pt>
                <c:pt idx="1">
                  <c:v>99.5</c:v>
                </c:pt>
                <c:pt idx="2">
                  <c:v>78</c:v>
                </c:pt>
                <c:pt idx="3">
                  <c:v>74</c:v>
                </c:pt>
                <c:pt idx="4">
                  <c:v>85</c:v>
                </c:pt>
                <c:pt idx="5">
                  <c:v>53</c:v>
                </c:pt>
                <c:pt idx="6">
                  <c:v>49.5</c:v>
                </c:pt>
                <c:pt idx="7">
                  <c:v>69</c:v>
                </c:pt>
                <c:pt idx="8">
                  <c:v>79</c:v>
                </c:pt>
                <c:pt idx="9">
                  <c:v>79</c:v>
                </c:pt>
                <c:pt idx="10">
                  <c:v>41</c:v>
                </c:pt>
                <c:pt idx="11">
                  <c:v>14</c:v>
                </c:pt>
              </c:numCache>
            </c:numRef>
          </c:val>
        </c:ser>
        <c:dLbls>
          <c:showLegendKey val="0"/>
          <c:showVal val="0"/>
          <c:showCatName val="0"/>
          <c:showSerName val="0"/>
          <c:showPercent val="0"/>
          <c:showBubbleSize val="0"/>
        </c:dLbls>
        <c:gapWidth val="150"/>
        <c:shape val="cylinder"/>
        <c:axId val="102223872"/>
        <c:axId val="102225408"/>
        <c:axId val="0"/>
      </c:bar3DChart>
      <c:catAx>
        <c:axId val="102223872"/>
        <c:scaling>
          <c:orientation val="minMax"/>
        </c:scaling>
        <c:delete val="0"/>
        <c:axPos val="b"/>
        <c:majorTickMark val="out"/>
        <c:minorTickMark val="none"/>
        <c:tickLblPos val="nextTo"/>
        <c:txPr>
          <a:bodyPr/>
          <a:lstStyle/>
          <a:p>
            <a:pPr>
              <a:defRPr sz="1400" b="1"/>
            </a:pPr>
            <a:endParaRPr lang="ru-RU"/>
          </a:p>
        </c:txPr>
        <c:crossAx val="102225408"/>
        <c:crosses val="autoZero"/>
        <c:auto val="1"/>
        <c:lblAlgn val="ctr"/>
        <c:lblOffset val="100"/>
        <c:noMultiLvlLbl val="0"/>
      </c:catAx>
      <c:valAx>
        <c:axId val="102225408"/>
        <c:scaling>
          <c:orientation val="minMax"/>
        </c:scaling>
        <c:delete val="1"/>
        <c:axPos val="l"/>
        <c:majorGridlines/>
        <c:numFmt formatCode="General" sourceLinked="1"/>
        <c:majorTickMark val="out"/>
        <c:minorTickMark val="none"/>
        <c:tickLblPos val="none"/>
        <c:crossAx val="10222387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txPr>
              <a:bodyPr/>
              <a:lstStyle/>
              <a:p>
                <a:pPr>
                  <a:defRPr sz="1400"/>
                </a:pPr>
                <a:endParaRPr lang="ru-RU"/>
              </a:p>
            </c:txPr>
            <c:showLegendKey val="0"/>
            <c:showVal val="1"/>
            <c:showCatName val="0"/>
            <c:showSerName val="0"/>
            <c:showPercent val="0"/>
            <c:showBubbleSize val="0"/>
            <c:showLeaderLines val="0"/>
          </c:dLbls>
          <c:cat>
            <c:multiLvlStrRef>
              <c:f>[Книга1]Лист1!$C$64:$V$65</c:f>
              <c:multiLvlStrCache>
                <c:ptCount val="20"/>
                <c:lvl>
                  <c:pt idx="0">
                    <c:v>1б</c:v>
                  </c:pt>
                  <c:pt idx="1">
                    <c:v>2б</c:v>
                  </c:pt>
                  <c:pt idx="2">
                    <c:v>1б</c:v>
                  </c:pt>
                  <c:pt idx="3">
                    <c:v>2б</c:v>
                  </c:pt>
                  <c:pt idx="4">
                    <c:v>1б</c:v>
                  </c:pt>
                  <c:pt idx="5">
                    <c:v>2б</c:v>
                  </c:pt>
                  <c:pt idx="6">
                    <c:v>1б</c:v>
                  </c:pt>
                  <c:pt idx="7">
                    <c:v>2б</c:v>
                  </c:pt>
                  <c:pt idx="8">
                    <c:v>3б</c:v>
                  </c:pt>
                  <c:pt idx="9">
                    <c:v>1б</c:v>
                  </c:pt>
                  <c:pt idx="10">
                    <c:v>2б</c:v>
                  </c:pt>
                  <c:pt idx="11">
                    <c:v>3б</c:v>
                  </c:pt>
                  <c:pt idx="12">
                    <c:v>1б</c:v>
                  </c:pt>
                  <c:pt idx="13">
                    <c:v>2б</c:v>
                  </c:pt>
                  <c:pt idx="14">
                    <c:v>3б</c:v>
                  </c:pt>
                  <c:pt idx="15">
                    <c:v>4б</c:v>
                  </c:pt>
                  <c:pt idx="16">
                    <c:v>1б</c:v>
                  </c:pt>
                  <c:pt idx="17">
                    <c:v>2б</c:v>
                  </c:pt>
                  <c:pt idx="18">
                    <c:v>3б</c:v>
                  </c:pt>
                  <c:pt idx="19">
                    <c:v>4б</c:v>
                  </c:pt>
                </c:lvl>
                <c:lvl>
                  <c:pt idx="0">
                    <c:v>13</c:v>
                  </c:pt>
                  <c:pt idx="2">
                    <c:v>14</c:v>
                  </c:pt>
                  <c:pt idx="4">
                    <c:v>15</c:v>
                  </c:pt>
                  <c:pt idx="6">
                    <c:v>16</c:v>
                  </c:pt>
                  <c:pt idx="9">
                    <c:v>17</c:v>
                  </c:pt>
                  <c:pt idx="12">
                    <c:v>18</c:v>
                  </c:pt>
                  <c:pt idx="16">
                    <c:v>19</c:v>
                  </c:pt>
                </c:lvl>
              </c:multiLvlStrCache>
            </c:multiLvlStrRef>
          </c:cat>
          <c:val>
            <c:numRef>
              <c:f>[Книга1]Лист1!$C$66:$V$66</c:f>
              <c:numCache>
                <c:formatCode>General</c:formatCode>
                <c:ptCount val="20"/>
                <c:pt idx="0">
                  <c:v>10</c:v>
                </c:pt>
                <c:pt idx="1">
                  <c:v>22</c:v>
                </c:pt>
                <c:pt idx="2">
                  <c:v>7</c:v>
                </c:pt>
                <c:pt idx="3">
                  <c:v>1</c:v>
                </c:pt>
                <c:pt idx="4">
                  <c:v>3.5</c:v>
                </c:pt>
                <c:pt idx="5">
                  <c:v>7</c:v>
                </c:pt>
                <c:pt idx="6">
                  <c:v>6</c:v>
                </c:pt>
                <c:pt idx="9">
                  <c:v>3</c:v>
                </c:pt>
                <c:pt idx="10">
                  <c:v>2</c:v>
                </c:pt>
                <c:pt idx="11">
                  <c:v>8</c:v>
                </c:pt>
                <c:pt idx="12">
                  <c:v>1</c:v>
                </c:pt>
                <c:pt idx="16">
                  <c:v>7</c:v>
                </c:pt>
                <c:pt idx="17">
                  <c:v>5</c:v>
                </c:pt>
              </c:numCache>
            </c:numRef>
          </c:val>
        </c:ser>
        <c:dLbls>
          <c:showLegendKey val="0"/>
          <c:showVal val="0"/>
          <c:showCatName val="0"/>
          <c:showSerName val="0"/>
          <c:showPercent val="0"/>
          <c:showBubbleSize val="0"/>
        </c:dLbls>
        <c:gapWidth val="150"/>
        <c:shape val="box"/>
        <c:axId val="102388864"/>
        <c:axId val="102390400"/>
        <c:axId val="0"/>
      </c:bar3DChart>
      <c:catAx>
        <c:axId val="102388864"/>
        <c:scaling>
          <c:orientation val="minMax"/>
        </c:scaling>
        <c:delete val="0"/>
        <c:axPos val="b"/>
        <c:majorTickMark val="out"/>
        <c:minorTickMark val="none"/>
        <c:tickLblPos val="nextTo"/>
        <c:txPr>
          <a:bodyPr/>
          <a:lstStyle/>
          <a:p>
            <a:pPr>
              <a:defRPr sz="1100" b="1"/>
            </a:pPr>
            <a:endParaRPr lang="ru-RU"/>
          </a:p>
        </c:txPr>
        <c:crossAx val="102390400"/>
        <c:crosses val="autoZero"/>
        <c:auto val="1"/>
        <c:lblAlgn val="ctr"/>
        <c:lblOffset val="100"/>
        <c:noMultiLvlLbl val="0"/>
      </c:catAx>
      <c:valAx>
        <c:axId val="102390400"/>
        <c:scaling>
          <c:orientation val="minMax"/>
        </c:scaling>
        <c:delete val="1"/>
        <c:axPos val="l"/>
        <c:majorGridlines/>
        <c:numFmt formatCode="General" sourceLinked="1"/>
        <c:majorTickMark val="out"/>
        <c:minorTickMark val="none"/>
        <c:tickLblPos val="none"/>
        <c:crossAx val="10238886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1744</Words>
  <Characters>9946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Тамаровская</cp:lastModifiedBy>
  <cp:revision>4</cp:revision>
  <dcterms:created xsi:type="dcterms:W3CDTF">2016-08-23T08:29:00Z</dcterms:created>
  <dcterms:modified xsi:type="dcterms:W3CDTF">2016-08-24T07:03:00Z</dcterms:modified>
</cp:coreProperties>
</file>